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D38" w:rsidRPr="000C7CBE" w:rsidRDefault="00504D38" w:rsidP="00504D38">
      <w:pPr>
        <w:jc w:val="center"/>
        <w:rPr>
          <w:sz w:val="28"/>
          <w:szCs w:val="28"/>
        </w:rPr>
      </w:pPr>
      <w:r w:rsidRPr="000C7CBE">
        <w:rPr>
          <w:noProof/>
          <w:sz w:val="28"/>
          <w:szCs w:val="28"/>
          <w:lang w:eastAsia="uk-UA"/>
        </w:rPr>
        <w:drawing>
          <wp:inline distT="0" distB="0" distL="0" distR="0" wp14:anchorId="0A81698D" wp14:editId="21BAF162">
            <wp:extent cx="541020" cy="72390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D38" w:rsidRPr="000C7CBE" w:rsidRDefault="00504D38" w:rsidP="00504D38">
      <w:pPr>
        <w:jc w:val="center"/>
        <w:rPr>
          <w:sz w:val="28"/>
          <w:szCs w:val="28"/>
        </w:rPr>
      </w:pPr>
    </w:p>
    <w:p w:rsidR="00504D38" w:rsidRPr="000C7CBE" w:rsidRDefault="00504D38" w:rsidP="00504D38">
      <w:pPr>
        <w:pStyle w:val="a5"/>
        <w:rPr>
          <w:sz w:val="28"/>
          <w:szCs w:val="28"/>
          <w:lang w:val="uk-UA"/>
        </w:rPr>
      </w:pPr>
      <w:r w:rsidRPr="000C7CBE">
        <w:rPr>
          <w:sz w:val="28"/>
          <w:szCs w:val="28"/>
          <w:lang w:val="uk-UA"/>
        </w:rPr>
        <w:t>У К Р А Ї Н А</w:t>
      </w:r>
    </w:p>
    <w:p w:rsidR="00504D38" w:rsidRPr="000C7CBE" w:rsidRDefault="00504D38" w:rsidP="00504D38">
      <w:pPr>
        <w:jc w:val="center"/>
        <w:rPr>
          <w:sz w:val="28"/>
          <w:szCs w:val="28"/>
        </w:rPr>
      </w:pPr>
    </w:p>
    <w:p w:rsidR="00504D38" w:rsidRPr="000C7CBE" w:rsidRDefault="00504D38" w:rsidP="00504D38">
      <w:pPr>
        <w:pStyle w:val="1"/>
        <w:rPr>
          <w:sz w:val="28"/>
          <w:szCs w:val="28"/>
        </w:rPr>
      </w:pPr>
      <w:r w:rsidRPr="000C7CBE">
        <w:rPr>
          <w:sz w:val="28"/>
          <w:szCs w:val="28"/>
        </w:rPr>
        <w:t>АВАНГАРДІВСЬКА СЕЛИЩНА РАДА</w:t>
      </w:r>
    </w:p>
    <w:p w:rsidR="00504D38" w:rsidRPr="000C7CBE" w:rsidRDefault="00504D38" w:rsidP="00504D38">
      <w:pPr>
        <w:jc w:val="center"/>
        <w:rPr>
          <w:sz w:val="28"/>
          <w:szCs w:val="28"/>
        </w:rPr>
      </w:pPr>
      <w:r w:rsidRPr="000C7CBE">
        <w:rPr>
          <w:sz w:val="28"/>
          <w:szCs w:val="28"/>
          <w:lang w:val="en-US"/>
        </w:rPr>
        <w:t>XL</w:t>
      </w:r>
      <w:r w:rsidR="007A3AEF" w:rsidRPr="000C7CBE">
        <w:rPr>
          <w:sz w:val="28"/>
          <w:szCs w:val="28"/>
          <w:lang w:val="en-US"/>
        </w:rPr>
        <w:t>IX</w:t>
      </w:r>
      <w:r w:rsidRPr="000C7CBE">
        <w:rPr>
          <w:sz w:val="28"/>
          <w:szCs w:val="28"/>
        </w:rPr>
        <w:t xml:space="preserve"> сесія V скликання</w:t>
      </w:r>
    </w:p>
    <w:p w:rsidR="00504D38" w:rsidRPr="000C7CBE" w:rsidRDefault="00504D38" w:rsidP="00504D38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04D38" w:rsidRPr="000C7CBE" w:rsidRDefault="00504D38" w:rsidP="00504D38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C7CB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 І Ш Е Н </w:t>
      </w:r>
      <w:proofErr w:type="spellStart"/>
      <w:r w:rsidRPr="000C7CBE">
        <w:rPr>
          <w:rFonts w:ascii="Times New Roman" w:hAnsi="Times New Roman" w:cs="Times New Roman"/>
          <w:b w:val="0"/>
          <w:color w:val="auto"/>
          <w:sz w:val="28"/>
          <w:szCs w:val="28"/>
        </w:rPr>
        <w:t>Н</w:t>
      </w:r>
      <w:proofErr w:type="spellEnd"/>
      <w:r w:rsidRPr="000C7CB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Я  №</w:t>
      </w:r>
      <w:r w:rsidR="00F7420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FF3840" w:rsidRPr="000C7CBE">
        <w:rPr>
          <w:rFonts w:ascii="Times New Roman" w:hAnsi="Times New Roman" w:cs="Times New Roman"/>
          <w:b w:val="0"/>
          <w:color w:val="auto"/>
          <w:sz w:val="32"/>
          <w:szCs w:val="28"/>
          <w:lang w:val="ru-RU"/>
        </w:rPr>
        <w:t>1325</w:t>
      </w:r>
      <w:r w:rsidRPr="000C7CBE">
        <w:rPr>
          <w:rFonts w:ascii="Times New Roman" w:hAnsi="Times New Roman" w:cs="Times New Roman"/>
          <w:b w:val="0"/>
          <w:color w:val="auto"/>
          <w:sz w:val="32"/>
          <w:szCs w:val="28"/>
        </w:rPr>
        <w:t xml:space="preserve"> – V</w:t>
      </w:r>
    </w:p>
    <w:p w:rsidR="00504D38" w:rsidRPr="000C7CBE" w:rsidRDefault="00504D38" w:rsidP="00504D38">
      <w:pPr>
        <w:jc w:val="center"/>
        <w:rPr>
          <w:sz w:val="28"/>
          <w:szCs w:val="28"/>
        </w:rPr>
      </w:pPr>
    </w:p>
    <w:p w:rsidR="00504D38" w:rsidRPr="000C7CBE" w:rsidRDefault="00504D38" w:rsidP="00504D38">
      <w:pPr>
        <w:jc w:val="center"/>
        <w:rPr>
          <w:sz w:val="28"/>
          <w:szCs w:val="28"/>
        </w:rPr>
      </w:pPr>
      <w:r w:rsidRPr="000C7CBE">
        <w:rPr>
          <w:sz w:val="28"/>
          <w:szCs w:val="28"/>
        </w:rPr>
        <w:t xml:space="preserve">від </w:t>
      </w:r>
      <w:r w:rsidR="007A3AEF" w:rsidRPr="000C7CBE">
        <w:rPr>
          <w:sz w:val="28"/>
          <w:szCs w:val="28"/>
          <w:lang w:val="en-US"/>
        </w:rPr>
        <w:t>18</w:t>
      </w:r>
      <w:r w:rsidRPr="000C7CBE">
        <w:rPr>
          <w:sz w:val="28"/>
          <w:szCs w:val="28"/>
        </w:rPr>
        <w:t xml:space="preserve"> </w:t>
      </w:r>
      <w:r w:rsidR="007A3AEF" w:rsidRPr="000C7CBE">
        <w:rPr>
          <w:sz w:val="28"/>
          <w:szCs w:val="28"/>
        </w:rPr>
        <w:t>червня</w:t>
      </w:r>
      <w:r w:rsidRPr="000C7CBE">
        <w:rPr>
          <w:sz w:val="28"/>
          <w:szCs w:val="28"/>
        </w:rPr>
        <w:t xml:space="preserve"> 2015 року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7"/>
      </w:tblGrid>
      <w:tr w:rsidR="00504D38" w:rsidRPr="000C7CBE" w:rsidTr="00EC0054">
        <w:trPr>
          <w:trHeight w:val="1384"/>
        </w:trPr>
        <w:tc>
          <w:tcPr>
            <w:tcW w:w="5127" w:type="dxa"/>
          </w:tcPr>
          <w:p w:rsidR="00504D38" w:rsidRPr="000C7CBE" w:rsidRDefault="00504D38" w:rsidP="00EC0054">
            <w:pPr>
              <w:jc w:val="both"/>
              <w:rPr>
                <w:sz w:val="16"/>
                <w:szCs w:val="16"/>
                <w:lang w:eastAsia="uk-UA"/>
              </w:rPr>
            </w:pPr>
          </w:p>
          <w:p w:rsidR="00504D38" w:rsidRPr="000C7CBE" w:rsidRDefault="00504D38" w:rsidP="00EC0054">
            <w:pPr>
              <w:ind w:right="-1"/>
              <w:jc w:val="both"/>
              <w:rPr>
                <w:sz w:val="28"/>
                <w:szCs w:val="28"/>
                <w:lang w:val="uk-UA"/>
              </w:rPr>
            </w:pPr>
            <w:r w:rsidRPr="000C7CBE">
              <w:rPr>
                <w:sz w:val="28"/>
                <w:szCs w:val="28"/>
                <w:lang w:eastAsia="uk-UA"/>
              </w:rPr>
              <w:t xml:space="preserve">Про </w:t>
            </w:r>
            <w:proofErr w:type="spellStart"/>
            <w:r w:rsidRPr="000C7CBE">
              <w:rPr>
                <w:sz w:val="28"/>
                <w:szCs w:val="28"/>
                <w:lang w:eastAsia="uk-UA"/>
              </w:rPr>
              <w:t>встановлення</w:t>
            </w:r>
            <w:proofErr w:type="spellEnd"/>
            <w:r w:rsidRPr="000C7CBE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proofErr w:type="gramStart"/>
            <w:r w:rsidRPr="000C7CBE">
              <w:rPr>
                <w:sz w:val="28"/>
                <w:szCs w:val="28"/>
                <w:lang w:eastAsia="uk-UA"/>
              </w:rPr>
              <w:t>п</w:t>
            </w:r>
            <w:proofErr w:type="gramEnd"/>
            <w:r w:rsidRPr="000C7CBE">
              <w:rPr>
                <w:sz w:val="28"/>
                <w:szCs w:val="28"/>
                <w:lang w:eastAsia="uk-UA"/>
              </w:rPr>
              <w:t>ільг</w:t>
            </w:r>
            <w:proofErr w:type="spellEnd"/>
            <w:r w:rsidRPr="000C7CBE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0C7CBE">
              <w:rPr>
                <w:sz w:val="28"/>
                <w:szCs w:val="28"/>
                <w:lang w:eastAsia="uk-UA"/>
              </w:rPr>
              <w:t>щодо</w:t>
            </w:r>
            <w:proofErr w:type="spellEnd"/>
            <w:r w:rsidRPr="000C7CBE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0C7CBE">
              <w:rPr>
                <w:sz w:val="28"/>
                <w:szCs w:val="28"/>
                <w:lang w:eastAsia="uk-UA"/>
              </w:rPr>
              <w:t>сплати</w:t>
            </w:r>
            <w:proofErr w:type="spellEnd"/>
            <w:r w:rsidRPr="000C7CBE">
              <w:rPr>
                <w:sz w:val="28"/>
                <w:szCs w:val="28"/>
                <w:lang w:eastAsia="uk-UA"/>
              </w:rPr>
              <w:t xml:space="preserve"> земельного </w:t>
            </w:r>
            <w:proofErr w:type="spellStart"/>
            <w:r w:rsidRPr="000C7CBE">
              <w:rPr>
                <w:sz w:val="28"/>
                <w:szCs w:val="28"/>
                <w:lang w:eastAsia="uk-UA"/>
              </w:rPr>
              <w:t>п</w:t>
            </w:r>
            <w:bookmarkStart w:id="0" w:name="_GoBack"/>
            <w:bookmarkEnd w:id="0"/>
            <w:r w:rsidRPr="000C7CBE">
              <w:rPr>
                <w:sz w:val="28"/>
                <w:szCs w:val="28"/>
                <w:lang w:eastAsia="uk-UA"/>
              </w:rPr>
              <w:t>одатку</w:t>
            </w:r>
            <w:proofErr w:type="spellEnd"/>
            <w:r w:rsidRPr="000C7CBE">
              <w:rPr>
                <w:sz w:val="28"/>
                <w:szCs w:val="28"/>
                <w:lang w:eastAsia="uk-UA"/>
              </w:rPr>
              <w:t xml:space="preserve"> у 2016 </w:t>
            </w:r>
            <w:proofErr w:type="spellStart"/>
            <w:r w:rsidRPr="000C7CBE">
              <w:rPr>
                <w:sz w:val="28"/>
                <w:szCs w:val="28"/>
                <w:lang w:eastAsia="uk-UA"/>
              </w:rPr>
              <w:t>році</w:t>
            </w:r>
            <w:proofErr w:type="spellEnd"/>
            <w:r w:rsidRPr="000C7CBE">
              <w:rPr>
                <w:sz w:val="28"/>
                <w:szCs w:val="28"/>
                <w:lang w:eastAsia="uk-UA"/>
              </w:rPr>
              <w:t xml:space="preserve"> на </w:t>
            </w:r>
            <w:proofErr w:type="spellStart"/>
            <w:r w:rsidRPr="000C7CBE">
              <w:rPr>
                <w:sz w:val="28"/>
                <w:szCs w:val="28"/>
                <w:lang w:eastAsia="uk-UA"/>
              </w:rPr>
              <w:t>території</w:t>
            </w:r>
            <w:proofErr w:type="spellEnd"/>
            <w:r w:rsidRPr="000C7CBE">
              <w:rPr>
                <w:sz w:val="28"/>
                <w:szCs w:val="28"/>
                <w:lang w:eastAsia="uk-UA"/>
              </w:rPr>
              <w:t xml:space="preserve"> </w:t>
            </w:r>
            <w:r w:rsidRPr="000C7CBE">
              <w:rPr>
                <w:sz w:val="28"/>
                <w:szCs w:val="28"/>
              </w:rPr>
              <w:t>Авангардівської селищної ради Овідіопольського району</w:t>
            </w:r>
          </w:p>
        </w:tc>
      </w:tr>
    </w:tbl>
    <w:p w:rsidR="00504D38" w:rsidRPr="000C7CBE" w:rsidRDefault="00504D38" w:rsidP="00504D38">
      <w:pPr>
        <w:ind w:firstLine="567"/>
        <w:jc w:val="both"/>
        <w:rPr>
          <w:sz w:val="28"/>
          <w:szCs w:val="28"/>
        </w:rPr>
      </w:pPr>
    </w:p>
    <w:p w:rsidR="00504D38" w:rsidRPr="00F74207" w:rsidRDefault="00504D38" w:rsidP="00504D38">
      <w:pPr>
        <w:ind w:firstLine="567"/>
        <w:jc w:val="both"/>
        <w:rPr>
          <w:sz w:val="28"/>
          <w:szCs w:val="28"/>
        </w:rPr>
      </w:pPr>
      <w:r w:rsidRPr="00F74207">
        <w:rPr>
          <w:sz w:val="28"/>
          <w:szCs w:val="28"/>
        </w:rPr>
        <w:t xml:space="preserve">Відповідно до статті 284 Податкового кодексу України, Закону України «Про внесення змін до Податкового кодексу України та деяких законодавчих актів України щодо податкової реформи» від 28.12.2014 №71-VІІІ, Бюджетного кодексу України, керуючись пунктами 24, 35 частини 1 статті 26 Закону України «Про місцеве самоврядування в Україні», враховуючи рекомендації постійної комісії селищної ради </w:t>
      </w:r>
      <w:r w:rsidRPr="00F74207">
        <w:rPr>
          <w:noProof/>
          <w:sz w:val="28"/>
          <w:szCs w:val="28"/>
        </w:rPr>
        <w:t>з питань бюджету та соціально-економічного розвитку, промисловості, підприємництва та регуляторної політики, торгівлі, громадського харчування та послуг</w:t>
      </w:r>
      <w:r w:rsidRPr="00F74207">
        <w:rPr>
          <w:sz w:val="28"/>
          <w:szCs w:val="28"/>
        </w:rPr>
        <w:t xml:space="preserve">, Авангардівська селищна рада </w:t>
      </w:r>
      <w:r w:rsidRPr="00F74207">
        <w:rPr>
          <w:b/>
          <w:sz w:val="28"/>
          <w:szCs w:val="28"/>
        </w:rPr>
        <w:t>ВИРІШИЛА:</w:t>
      </w:r>
    </w:p>
    <w:p w:rsidR="00504D38" w:rsidRPr="00F74207" w:rsidRDefault="00504D38" w:rsidP="00504D38">
      <w:pPr>
        <w:jc w:val="both"/>
        <w:rPr>
          <w:sz w:val="28"/>
          <w:szCs w:val="28"/>
        </w:rPr>
      </w:pPr>
    </w:p>
    <w:p w:rsidR="00F74207" w:rsidRPr="00F74207" w:rsidRDefault="00F74207" w:rsidP="00F74207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="005A35D9">
        <w:rPr>
          <w:rFonts w:eastAsia="Calibri"/>
          <w:sz w:val="28"/>
          <w:szCs w:val="28"/>
        </w:rPr>
        <w:t>.</w:t>
      </w:r>
      <w:r w:rsidRPr="00F74207">
        <w:rPr>
          <w:rFonts w:eastAsia="Calibri"/>
          <w:sz w:val="28"/>
          <w:szCs w:val="28"/>
        </w:rPr>
        <w:t xml:space="preserve"> Встановити з 01 січня 2016 року до 31 грудня 2016 року пільги щодо земельного податку на території Авангардівської селищної ради Овідіопольського району, звільнівши від його сплати:</w:t>
      </w:r>
    </w:p>
    <w:p w:rsidR="00F74207" w:rsidRPr="00F74207" w:rsidRDefault="00F74207" w:rsidP="00F74207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Pr="00F74207">
        <w:rPr>
          <w:rFonts w:eastAsia="Calibri"/>
          <w:sz w:val="28"/>
          <w:szCs w:val="28"/>
        </w:rPr>
        <w:t>.1.</w:t>
      </w:r>
      <w:r w:rsidRPr="00F74207">
        <w:rPr>
          <w:rFonts w:eastAsia="Calibri"/>
          <w:sz w:val="28"/>
          <w:szCs w:val="28"/>
        </w:rPr>
        <w:tab/>
        <w:t>Органи місцевого самоврядування (Авангардівська селищна рада).</w:t>
      </w:r>
    </w:p>
    <w:p w:rsidR="00F74207" w:rsidRPr="00F74207" w:rsidRDefault="00F74207" w:rsidP="00F74207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Pr="00F74207">
        <w:rPr>
          <w:rFonts w:eastAsia="Calibri"/>
          <w:sz w:val="28"/>
          <w:szCs w:val="28"/>
        </w:rPr>
        <w:t>.2.</w:t>
      </w:r>
      <w:r w:rsidRPr="00F74207">
        <w:rPr>
          <w:rFonts w:eastAsia="Calibri"/>
          <w:sz w:val="28"/>
          <w:szCs w:val="28"/>
        </w:rPr>
        <w:tab/>
        <w:t>Дошкільні та загальноосвітні навчальні заклади («Дошкільний навчальний заклад (дитячий садок) – загальноосвітня школа І ступеня»), заклади культури («Будинок культури та відпочинку»), охорони здоров'я («Авангардівська амбулаторія загальної практики – сімейної медицини»), які повністю утримуються за рахунок коштів державного або місцевих бюджетів.</w:t>
      </w:r>
    </w:p>
    <w:p w:rsidR="00F74207" w:rsidRPr="00F74207" w:rsidRDefault="00F74207" w:rsidP="00F74207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Pr="00F74207">
        <w:rPr>
          <w:rFonts w:eastAsia="Calibri"/>
          <w:sz w:val="28"/>
          <w:szCs w:val="28"/>
        </w:rPr>
        <w:t>.3.</w:t>
      </w:r>
      <w:r w:rsidRPr="00F74207">
        <w:rPr>
          <w:rFonts w:eastAsia="Calibri"/>
          <w:sz w:val="28"/>
          <w:szCs w:val="28"/>
        </w:rPr>
        <w:tab/>
        <w:t>Парки комунальної власності.</w:t>
      </w:r>
    </w:p>
    <w:p w:rsidR="00F74207" w:rsidRPr="00F74207" w:rsidRDefault="00F74207" w:rsidP="00F74207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="005A35D9">
        <w:rPr>
          <w:rFonts w:eastAsia="Calibri"/>
          <w:sz w:val="28"/>
          <w:szCs w:val="28"/>
        </w:rPr>
        <w:t>.</w:t>
      </w:r>
      <w:r w:rsidRPr="00F74207">
        <w:rPr>
          <w:rFonts w:eastAsia="Calibri"/>
          <w:sz w:val="28"/>
          <w:szCs w:val="28"/>
        </w:rPr>
        <w:t>4.</w:t>
      </w:r>
      <w:r w:rsidRPr="00F74207">
        <w:rPr>
          <w:rFonts w:eastAsia="Calibri"/>
          <w:sz w:val="28"/>
          <w:szCs w:val="28"/>
        </w:rPr>
        <w:tab/>
        <w:t xml:space="preserve">Комунальні підприємства, які засновані </w:t>
      </w:r>
      <w:proofErr w:type="spellStart"/>
      <w:r w:rsidRPr="00F74207">
        <w:rPr>
          <w:rFonts w:eastAsia="Calibri"/>
          <w:sz w:val="28"/>
          <w:szCs w:val="28"/>
        </w:rPr>
        <w:t>Авангардівською</w:t>
      </w:r>
      <w:proofErr w:type="spellEnd"/>
      <w:r w:rsidRPr="00F74207">
        <w:rPr>
          <w:rFonts w:eastAsia="Calibri"/>
          <w:sz w:val="28"/>
          <w:szCs w:val="28"/>
        </w:rPr>
        <w:t xml:space="preserve"> селищною радою Овідіопольського району («Авангардкомунсервіс», ЖКП «Драгнава»).</w:t>
      </w:r>
    </w:p>
    <w:p w:rsidR="00F74207" w:rsidRPr="00F74207" w:rsidRDefault="005A35D9" w:rsidP="00F74207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</w:t>
      </w:r>
      <w:r w:rsidR="00F74207" w:rsidRPr="00F74207">
        <w:rPr>
          <w:rFonts w:eastAsia="Calibri"/>
          <w:sz w:val="28"/>
          <w:szCs w:val="28"/>
        </w:rPr>
        <w:t xml:space="preserve"> Не сплачується земельний податок за земельні ділянки, які передбачені статтею 283 Податкового кодексу України.</w:t>
      </w:r>
    </w:p>
    <w:p w:rsidR="00F74207" w:rsidRPr="00F74207" w:rsidRDefault="005A35D9" w:rsidP="00F74207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</w:t>
      </w:r>
      <w:r w:rsidR="00F74207" w:rsidRPr="00F74207">
        <w:rPr>
          <w:rFonts w:eastAsia="Calibri"/>
          <w:sz w:val="28"/>
          <w:szCs w:val="28"/>
        </w:rPr>
        <w:t xml:space="preserve"> Авангардівська селищна рада Овідіопольського району встановлює ставки та пільги щодо земельного податку, що сплачуються на її території відповідно до статті 284 Податкового кодексу України.</w:t>
      </w:r>
    </w:p>
    <w:p w:rsidR="00504D38" w:rsidRPr="00F74207" w:rsidRDefault="00504D38" w:rsidP="00504D38">
      <w:pPr>
        <w:ind w:firstLine="567"/>
        <w:jc w:val="both"/>
        <w:rPr>
          <w:sz w:val="28"/>
          <w:szCs w:val="28"/>
        </w:rPr>
      </w:pPr>
    </w:p>
    <w:p w:rsidR="00504D38" w:rsidRPr="00F74207" w:rsidRDefault="005A35D9" w:rsidP="00504D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504D38" w:rsidRPr="00F74207">
        <w:rPr>
          <w:sz w:val="28"/>
          <w:szCs w:val="28"/>
        </w:rPr>
        <w:t xml:space="preserve">. Секретарю селищної ради оприлюднити дане рішення в місцевих засобах масової інформації та/або на офіційному сайті Авангардівської селищної ради Овідіопольського району </w:t>
      </w:r>
      <w:hyperlink r:id="rId7" w:history="1">
        <w:r w:rsidR="00504D38" w:rsidRPr="00F74207">
          <w:rPr>
            <w:rStyle w:val="a4"/>
            <w:color w:val="auto"/>
            <w:sz w:val="28"/>
            <w:szCs w:val="28"/>
          </w:rPr>
          <w:t>http://avangard.odessa.gov.ua</w:t>
        </w:r>
      </w:hyperlink>
      <w:r w:rsidR="00504D38" w:rsidRPr="00F74207">
        <w:rPr>
          <w:sz w:val="28"/>
          <w:szCs w:val="28"/>
        </w:rPr>
        <w:t>.</w:t>
      </w:r>
    </w:p>
    <w:p w:rsidR="00504D38" w:rsidRPr="00F74207" w:rsidRDefault="00504D38" w:rsidP="00504D38">
      <w:pPr>
        <w:ind w:firstLine="567"/>
        <w:jc w:val="both"/>
        <w:rPr>
          <w:sz w:val="28"/>
          <w:szCs w:val="28"/>
        </w:rPr>
      </w:pPr>
    </w:p>
    <w:p w:rsidR="00504D38" w:rsidRPr="00F74207" w:rsidRDefault="005A35D9" w:rsidP="00504D38">
      <w:pPr>
        <w:ind w:firstLine="567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5</w:t>
      </w:r>
      <w:r w:rsidR="00504D38" w:rsidRPr="00F74207">
        <w:rPr>
          <w:sz w:val="28"/>
          <w:szCs w:val="28"/>
        </w:rPr>
        <w:t xml:space="preserve">. </w:t>
      </w:r>
      <w:r w:rsidR="00504D38" w:rsidRPr="00F74207">
        <w:rPr>
          <w:noProof/>
          <w:sz w:val="28"/>
          <w:szCs w:val="28"/>
        </w:rPr>
        <w:t>Контроль за виконання рішення покласти на постійну комісію селищної ради з питань бюджету та соціально-економічного розвитку, промисловості, підприємництва та регуляторної політики, торгівлі, громадського харчування та послуг.</w:t>
      </w:r>
    </w:p>
    <w:p w:rsidR="00504D38" w:rsidRPr="000C7CBE" w:rsidRDefault="00504D38" w:rsidP="00504D38">
      <w:pPr>
        <w:jc w:val="both"/>
        <w:rPr>
          <w:sz w:val="28"/>
          <w:szCs w:val="28"/>
        </w:rPr>
      </w:pPr>
    </w:p>
    <w:p w:rsidR="00504D38" w:rsidRPr="000C7CBE" w:rsidRDefault="00504D38" w:rsidP="00504D38">
      <w:pPr>
        <w:jc w:val="both"/>
        <w:rPr>
          <w:sz w:val="28"/>
          <w:szCs w:val="28"/>
        </w:rPr>
      </w:pPr>
    </w:p>
    <w:p w:rsidR="00504D38" w:rsidRPr="000C7CBE" w:rsidRDefault="00504D38" w:rsidP="00504D38">
      <w:pPr>
        <w:jc w:val="both"/>
        <w:rPr>
          <w:sz w:val="28"/>
          <w:szCs w:val="28"/>
        </w:rPr>
      </w:pPr>
    </w:p>
    <w:p w:rsidR="008512A5" w:rsidRDefault="00504D38" w:rsidP="00504D38">
      <w:pPr>
        <w:ind w:firstLine="708"/>
        <w:jc w:val="center"/>
        <w:rPr>
          <w:b/>
          <w:sz w:val="28"/>
          <w:szCs w:val="28"/>
        </w:rPr>
      </w:pPr>
      <w:r w:rsidRPr="000C7CBE">
        <w:rPr>
          <w:b/>
          <w:sz w:val="28"/>
          <w:szCs w:val="28"/>
        </w:rPr>
        <w:t>Селищний голова</w:t>
      </w:r>
      <w:r w:rsidRPr="000C7CBE">
        <w:rPr>
          <w:b/>
          <w:sz w:val="28"/>
          <w:szCs w:val="28"/>
        </w:rPr>
        <w:tab/>
      </w:r>
      <w:r w:rsidRPr="000C7CBE">
        <w:rPr>
          <w:b/>
          <w:sz w:val="28"/>
          <w:szCs w:val="28"/>
        </w:rPr>
        <w:tab/>
      </w:r>
      <w:r w:rsidRPr="000C7CBE">
        <w:rPr>
          <w:b/>
          <w:sz w:val="28"/>
          <w:szCs w:val="28"/>
        </w:rPr>
        <w:tab/>
      </w:r>
      <w:r w:rsidRPr="000C7CBE">
        <w:rPr>
          <w:b/>
          <w:sz w:val="28"/>
          <w:szCs w:val="28"/>
        </w:rPr>
        <w:tab/>
      </w:r>
      <w:r w:rsidRPr="000C7CBE">
        <w:rPr>
          <w:b/>
          <w:sz w:val="28"/>
          <w:szCs w:val="28"/>
        </w:rPr>
        <w:tab/>
      </w:r>
      <w:proofErr w:type="spellStart"/>
      <w:r w:rsidRPr="000C7CBE">
        <w:rPr>
          <w:b/>
          <w:sz w:val="28"/>
          <w:szCs w:val="28"/>
        </w:rPr>
        <w:t>С.Хрустовський</w:t>
      </w:r>
      <w:proofErr w:type="spellEnd"/>
    </w:p>
    <w:p w:rsidR="008512A5" w:rsidRDefault="008512A5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512A5" w:rsidRPr="00955FE7" w:rsidRDefault="008512A5" w:rsidP="008512A5"/>
    <w:p w:rsidR="008512A5" w:rsidRDefault="008512A5" w:rsidP="008512A5">
      <w:pPr>
        <w:ind w:left="6521"/>
      </w:pPr>
      <w:r w:rsidRPr="00C72D80">
        <w:t>Додаток</w:t>
      </w:r>
    </w:p>
    <w:p w:rsidR="008512A5" w:rsidRPr="00955FE7" w:rsidRDefault="008512A5" w:rsidP="008512A5">
      <w:pPr>
        <w:ind w:left="6521"/>
      </w:pPr>
      <w:r w:rsidRPr="00955FE7">
        <w:t>до Положення про податок на майно</w:t>
      </w:r>
      <w:r>
        <w:t>(</w:t>
      </w:r>
      <w:r w:rsidRPr="00955FE7">
        <w:t xml:space="preserve"> в частині плати за землю</w:t>
      </w:r>
      <w:r>
        <w:t>) на території Авангардівської селищної ради Овідіопольського району</w:t>
      </w:r>
      <w:r w:rsidRPr="00955FE7">
        <w:tab/>
      </w:r>
      <w:r w:rsidRPr="00955FE7">
        <w:tab/>
        <w:t xml:space="preserve"> </w:t>
      </w:r>
    </w:p>
    <w:p w:rsidR="008512A5" w:rsidRPr="00955FE7" w:rsidRDefault="008512A5" w:rsidP="008512A5">
      <w:pPr>
        <w:jc w:val="center"/>
        <w:rPr>
          <w:b/>
          <w:i/>
          <w:u w:val="single"/>
        </w:rPr>
      </w:pPr>
      <w:r w:rsidRPr="00955FE7">
        <w:rPr>
          <w:b/>
          <w:i/>
          <w:u w:val="single"/>
        </w:rPr>
        <w:t>ПЕРЕЛІК</w:t>
      </w:r>
    </w:p>
    <w:p w:rsidR="008512A5" w:rsidRPr="00955FE7" w:rsidRDefault="008512A5" w:rsidP="008512A5">
      <w:pPr>
        <w:jc w:val="center"/>
        <w:rPr>
          <w:b/>
          <w:i/>
          <w:u w:val="single"/>
        </w:rPr>
      </w:pPr>
      <w:r w:rsidRPr="00955FE7">
        <w:rPr>
          <w:b/>
          <w:i/>
          <w:u w:val="single"/>
        </w:rPr>
        <w:t xml:space="preserve">категорій платників та розмір ставок земельного податку   </w:t>
      </w:r>
    </w:p>
    <w:p w:rsidR="008512A5" w:rsidRPr="00955FE7" w:rsidRDefault="008512A5" w:rsidP="008512A5"/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6480"/>
        <w:gridCol w:w="2880"/>
      </w:tblGrid>
      <w:tr w:rsidR="008512A5" w:rsidRPr="00955FE7" w:rsidTr="00435FD6">
        <w:tc>
          <w:tcPr>
            <w:tcW w:w="900" w:type="dxa"/>
          </w:tcPr>
          <w:p w:rsidR="008512A5" w:rsidRPr="00955FE7" w:rsidRDefault="008512A5" w:rsidP="00435FD6">
            <w:r w:rsidRPr="00955FE7">
              <w:t>№</w:t>
            </w:r>
          </w:p>
        </w:tc>
        <w:tc>
          <w:tcPr>
            <w:tcW w:w="6480" w:type="dxa"/>
          </w:tcPr>
          <w:p w:rsidR="008512A5" w:rsidRPr="00955FE7" w:rsidRDefault="008512A5" w:rsidP="00435FD6">
            <w:pPr>
              <w:jc w:val="center"/>
            </w:pPr>
            <w:r w:rsidRPr="00955FE7">
              <w:rPr>
                <w:bCs/>
              </w:rPr>
              <w:t>Категорії  платників земельного податку</w:t>
            </w:r>
            <w:r w:rsidRPr="00955FE7">
              <w:t xml:space="preserve"> </w:t>
            </w:r>
          </w:p>
        </w:tc>
        <w:tc>
          <w:tcPr>
            <w:tcW w:w="2880" w:type="dxa"/>
          </w:tcPr>
          <w:p w:rsidR="008512A5" w:rsidRPr="00955FE7" w:rsidRDefault="008512A5" w:rsidP="00435FD6">
            <w:pPr>
              <w:jc w:val="center"/>
              <w:rPr>
                <w:lang w:val="ru-RU"/>
              </w:rPr>
            </w:pPr>
            <w:r w:rsidRPr="00955FE7">
              <w:t xml:space="preserve">Розмір ставки земельного податку, </w:t>
            </w:r>
          </w:p>
          <w:p w:rsidR="008512A5" w:rsidRPr="00955FE7" w:rsidRDefault="008512A5" w:rsidP="00435FD6">
            <w:pPr>
              <w:jc w:val="center"/>
            </w:pPr>
            <w:r w:rsidRPr="00955FE7">
              <w:t>% від нормативної грошової оцінки землі (НГО)</w:t>
            </w:r>
          </w:p>
        </w:tc>
      </w:tr>
      <w:tr w:rsidR="008512A5" w:rsidRPr="00955FE7" w:rsidTr="00435FD6">
        <w:tc>
          <w:tcPr>
            <w:tcW w:w="900" w:type="dxa"/>
          </w:tcPr>
          <w:p w:rsidR="008512A5" w:rsidRPr="00955FE7" w:rsidRDefault="008512A5" w:rsidP="00435FD6">
            <w:pPr>
              <w:jc w:val="center"/>
            </w:pPr>
            <w:r w:rsidRPr="00955FE7">
              <w:t>1</w:t>
            </w:r>
          </w:p>
        </w:tc>
        <w:tc>
          <w:tcPr>
            <w:tcW w:w="6480" w:type="dxa"/>
          </w:tcPr>
          <w:p w:rsidR="008512A5" w:rsidRPr="00955FE7" w:rsidRDefault="008512A5" w:rsidP="00435FD6">
            <w:pPr>
              <w:jc w:val="center"/>
            </w:pPr>
            <w:r w:rsidRPr="00955FE7">
              <w:t>2</w:t>
            </w:r>
          </w:p>
        </w:tc>
        <w:tc>
          <w:tcPr>
            <w:tcW w:w="2880" w:type="dxa"/>
          </w:tcPr>
          <w:p w:rsidR="008512A5" w:rsidRPr="00955FE7" w:rsidRDefault="008512A5" w:rsidP="00435FD6">
            <w:pPr>
              <w:jc w:val="center"/>
            </w:pPr>
            <w:r w:rsidRPr="00955FE7">
              <w:t>3</w:t>
            </w:r>
          </w:p>
        </w:tc>
      </w:tr>
      <w:tr w:rsidR="008512A5" w:rsidRPr="00955FE7" w:rsidTr="00435FD6">
        <w:tc>
          <w:tcPr>
            <w:tcW w:w="900" w:type="dxa"/>
          </w:tcPr>
          <w:p w:rsidR="008512A5" w:rsidRPr="00955FE7" w:rsidRDefault="008512A5" w:rsidP="00435FD6"/>
          <w:p w:rsidR="008512A5" w:rsidRPr="00955FE7" w:rsidRDefault="008512A5" w:rsidP="00435FD6"/>
          <w:p w:rsidR="008512A5" w:rsidRPr="00955FE7" w:rsidRDefault="008512A5" w:rsidP="00435FD6"/>
          <w:p w:rsidR="008512A5" w:rsidRPr="00955FE7" w:rsidRDefault="008512A5" w:rsidP="00435FD6">
            <w:r w:rsidRPr="00955FE7">
              <w:t xml:space="preserve">    </w:t>
            </w:r>
            <w:r>
              <w:t xml:space="preserve"> </w:t>
            </w:r>
            <w:r w:rsidRPr="00955FE7">
              <w:t>1</w:t>
            </w:r>
          </w:p>
        </w:tc>
        <w:tc>
          <w:tcPr>
            <w:tcW w:w="6480" w:type="dxa"/>
          </w:tcPr>
          <w:p w:rsidR="008512A5" w:rsidRPr="00955FE7" w:rsidRDefault="008512A5" w:rsidP="00435FD6">
            <w:pPr>
              <w:jc w:val="both"/>
            </w:pPr>
            <w:r w:rsidRPr="00955FE7">
              <w:rPr>
                <w:bCs/>
              </w:rPr>
              <w:t>органи державної влади та органи місцевого самоврядування, органи прокуратури, заклади, установи та організації, спеціалізовані санаторії України для реабілітації, лікування та оздоровлення хворих, військові формування, утворені у відповідності до законів України, Збройні Сили України та Державна прикордонна служба України, які повністю утримуються за рахунок державного або місцевого бюджетів</w:t>
            </w:r>
            <w:r>
              <w:rPr>
                <w:bCs/>
              </w:rPr>
              <w:t xml:space="preserve"> та використовують земельні ділянки за цільовим призначенням (крім комерційного використання) (згідно п.5 Положення)</w:t>
            </w:r>
          </w:p>
        </w:tc>
        <w:tc>
          <w:tcPr>
            <w:tcW w:w="2880" w:type="dxa"/>
          </w:tcPr>
          <w:p w:rsidR="008512A5" w:rsidRDefault="008512A5" w:rsidP="00435FD6">
            <w:pPr>
              <w:jc w:val="center"/>
            </w:pPr>
          </w:p>
          <w:p w:rsidR="008512A5" w:rsidRDefault="008512A5" w:rsidP="00435FD6">
            <w:pPr>
              <w:jc w:val="center"/>
            </w:pPr>
          </w:p>
          <w:p w:rsidR="008512A5" w:rsidRPr="00955FE7" w:rsidRDefault="008512A5" w:rsidP="00435FD6">
            <w:pPr>
              <w:jc w:val="center"/>
            </w:pPr>
            <w:r>
              <w:t>1</w:t>
            </w:r>
          </w:p>
        </w:tc>
      </w:tr>
      <w:tr w:rsidR="008512A5" w:rsidRPr="00955FE7" w:rsidTr="00435FD6">
        <w:tc>
          <w:tcPr>
            <w:tcW w:w="900" w:type="dxa"/>
          </w:tcPr>
          <w:p w:rsidR="008512A5" w:rsidRPr="00955FE7" w:rsidRDefault="008512A5" w:rsidP="00435FD6">
            <w:pPr>
              <w:jc w:val="center"/>
            </w:pPr>
            <w:r w:rsidRPr="00955FE7">
              <w:t>2</w:t>
            </w:r>
          </w:p>
        </w:tc>
        <w:tc>
          <w:tcPr>
            <w:tcW w:w="6480" w:type="dxa"/>
          </w:tcPr>
          <w:p w:rsidR="008512A5" w:rsidRPr="00955FE7" w:rsidRDefault="008512A5" w:rsidP="00435FD6">
            <w:pPr>
              <w:tabs>
                <w:tab w:val="num" w:pos="1080"/>
              </w:tabs>
              <w:jc w:val="both"/>
              <w:rPr>
                <w:bCs/>
              </w:rPr>
            </w:pPr>
            <w:r w:rsidRPr="00955FE7">
              <w:rPr>
                <w:bCs/>
              </w:rPr>
              <w:t xml:space="preserve">власники земельних ділянок (юридичні та фізичні особи), які мають належним чином оформлене право власності на земельну ділянку, за винятком платників, зазначених у </w:t>
            </w:r>
            <w:proofErr w:type="spellStart"/>
            <w:r w:rsidRPr="00955FE7">
              <w:rPr>
                <w:bCs/>
              </w:rPr>
              <w:t>пп</w:t>
            </w:r>
            <w:proofErr w:type="spellEnd"/>
            <w:r w:rsidRPr="00955FE7">
              <w:rPr>
                <w:bCs/>
              </w:rPr>
              <w:t xml:space="preserve">. 4-9 </w:t>
            </w:r>
          </w:p>
        </w:tc>
        <w:tc>
          <w:tcPr>
            <w:tcW w:w="2880" w:type="dxa"/>
          </w:tcPr>
          <w:p w:rsidR="008512A5" w:rsidRDefault="008512A5" w:rsidP="00435FD6">
            <w:pPr>
              <w:jc w:val="center"/>
            </w:pPr>
          </w:p>
          <w:p w:rsidR="008512A5" w:rsidRDefault="008512A5" w:rsidP="00435FD6">
            <w:pPr>
              <w:jc w:val="center"/>
            </w:pPr>
          </w:p>
          <w:p w:rsidR="008512A5" w:rsidRPr="00955FE7" w:rsidRDefault="008512A5" w:rsidP="00435FD6">
            <w:pPr>
              <w:jc w:val="center"/>
            </w:pPr>
            <w:r>
              <w:t>1</w:t>
            </w:r>
          </w:p>
        </w:tc>
      </w:tr>
      <w:tr w:rsidR="008512A5" w:rsidRPr="00955FE7" w:rsidTr="00435FD6">
        <w:tc>
          <w:tcPr>
            <w:tcW w:w="900" w:type="dxa"/>
          </w:tcPr>
          <w:p w:rsidR="008512A5" w:rsidRPr="00955FE7" w:rsidRDefault="008512A5" w:rsidP="00435FD6"/>
          <w:p w:rsidR="008512A5" w:rsidRPr="00955FE7" w:rsidRDefault="008512A5" w:rsidP="00435FD6"/>
          <w:p w:rsidR="008512A5" w:rsidRPr="00955FE7" w:rsidRDefault="008512A5" w:rsidP="00435FD6">
            <w:r w:rsidRPr="00955FE7">
              <w:t xml:space="preserve">  </w:t>
            </w:r>
            <w:r>
              <w:t xml:space="preserve"> </w:t>
            </w:r>
            <w:r w:rsidRPr="00955FE7">
              <w:t xml:space="preserve">  3</w:t>
            </w:r>
          </w:p>
        </w:tc>
        <w:tc>
          <w:tcPr>
            <w:tcW w:w="6480" w:type="dxa"/>
          </w:tcPr>
          <w:p w:rsidR="008512A5" w:rsidRPr="00955FE7" w:rsidRDefault="008512A5" w:rsidP="00435FD6">
            <w:pPr>
              <w:tabs>
                <w:tab w:val="num" w:pos="1080"/>
              </w:tabs>
              <w:jc w:val="both"/>
              <w:rPr>
                <w:bCs/>
              </w:rPr>
            </w:pPr>
            <w:r w:rsidRPr="00955FE7">
              <w:rPr>
                <w:bCs/>
              </w:rPr>
              <w:t>землекористувачі (юридичні та фізичні особи), які використовують земельні ділянки без належним чином оформлених документів на право користування земельною ділянкою, за винятком платників, зазначених у п. 4-8</w:t>
            </w:r>
          </w:p>
        </w:tc>
        <w:tc>
          <w:tcPr>
            <w:tcW w:w="2880" w:type="dxa"/>
          </w:tcPr>
          <w:p w:rsidR="008512A5" w:rsidRDefault="008512A5" w:rsidP="00435FD6">
            <w:pPr>
              <w:jc w:val="center"/>
            </w:pPr>
          </w:p>
          <w:p w:rsidR="008512A5" w:rsidRPr="00955FE7" w:rsidRDefault="008512A5" w:rsidP="00435FD6">
            <w:pPr>
              <w:jc w:val="center"/>
            </w:pPr>
            <w:r>
              <w:t>3</w:t>
            </w:r>
          </w:p>
        </w:tc>
      </w:tr>
      <w:tr w:rsidR="008512A5" w:rsidRPr="00955FE7" w:rsidTr="00435FD6">
        <w:tc>
          <w:tcPr>
            <w:tcW w:w="900" w:type="dxa"/>
          </w:tcPr>
          <w:p w:rsidR="008512A5" w:rsidRPr="00955FE7" w:rsidRDefault="008512A5" w:rsidP="00435FD6">
            <w:r w:rsidRPr="00955FE7">
              <w:t xml:space="preserve">   </w:t>
            </w:r>
            <w:r>
              <w:t xml:space="preserve"> </w:t>
            </w:r>
            <w:r w:rsidRPr="00955FE7">
              <w:t xml:space="preserve"> 4</w:t>
            </w:r>
          </w:p>
        </w:tc>
        <w:tc>
          <w:tcPr>
            <w:tcW w:w="6480" w:type="dxa"/>
          </w:tcPr>
          <w:p w:rsidR="008512A5" w:rsidRPr="00955FE7" w:rsidRDefault="008512A5" w:rsidP="00435FD6">
            <w:pPr>
              <w:tabs>
                <w:tab w:val="num" w:pos="1080"/>
              </w:tabs>
              <w:jc w:val="both"/>
              <w:rPr>
                <w:sz w:val="28"/>
                <w:szCs w:val="28"/>
              </w:rPr>
            </w:pPr>
            <w:r w:rsidRPr="00955FE7">
              <w:rPr>
                <w:bCs/>
              </w:rPr>
              <w:t xml:space="preserve">власники та користувачі </w:t>
            </w:r>
            <w:r w:rsidRPr="00955FE7">
              <w:t>сільськогосподарських угідь (фізичні особи)</w:t>
            </w:r>
            <w:r w:rsidRPr="00955FE7">
              <w:rPr>
                <w:bCs/>
              </w:rPr>
              <w:t xml:space="preserve"> з</w:t>
            </w:r>
            <w:r w:rsidRPr="00955FE7">
              <w:t>а один гектар:</w:t>
            </w:r>
          </w:p>
          <w:p w:rsidR="008512A5" w:rsidRPr="00955FE7" w:rsidRDefault="008512A5" w:rsidP="00435FD6">
            <w:pPr>
              <w:pStyle w:val="rvps2"/>
              <w:spacing w:before="0" w:beforeAutospacing="0" w:after="0" w:afterAutospacing="0"/>
              <w:ind w:firstLine="708"/>
            </w:pPr>
            <w:r w:rsidRPr="00955FE7">
              <w:t xml:space="preserve">- для </w:t>
            </w:r>
            <w:proofErr w:type="spellStart"/>
            <w:proofErr w:type="gramStart"/>
            <w:r w:rsidRPr="00955FE7">
              <w:t>р</w:t>
            </w:r>
            <w:proofErr w:type="gramEnd"/>
            <w:r w:rsidRPr="00955FE7">
              <w:t>іллі</w:t>
            </w:r>
            <w:proofErr w:type="spellEnd"/>
            <w:r w:rsidRPr="00955FE7">
              <w:t xml:space="preserve">, </w:t>
            </w:r>
            <w:proofErr w:type="spellStart"/>
            <w:r w:rsidRPr="00955FE7">
              <w:t>сіножатей</w:t>
            </w:r>
            <w:proofErr w:type="spellEnd"/>
            <w:r w:rsidRPr="00955FE7">
              <w:t xml:space="preserve"> та </w:t>
            </w:r>
            <w:proofErr w:type="spellStart"/>
            <w:r w:rsidRPr="00955FE7">
              <w:t>пасовищ</w:t>
            </w:r>
            <w:proofErr w:type="spellEnd"/>
            <w:r w:rsidRPr="00955FE7">
              <w:t xml:space="preserve"> </w:t>
            </w:r>
          </w:p>
          <w:p w:rsidR="008512A5" w:rsidRPr="00955FE7" w:rsidRDefault="008512A5" w:rsidP="00435FD6">
            <w:pPr>
              <w:tabs>
                <w:tab w:val="num" w:pos="1080"/>
              </w:tabs>
              <w:jc w:val="both"/>
              <w:rPr>
                <w:bCs/>
                <w:lang w:val="ru-RU"/>
              </w:rPr>
            </w:pPr>
            <w:r w:rsidRPr="00955FE7">
              <w:t xml:space="preserve">            - для багаторічних насаджень </w:t>
            </w:r>
          </w:p>
        </w:tc>
        <w:tc>
          <w:tcPr>
            <w:tcW w:w="2880" w:type="dxa"/>
          </w:tcPr>
          <w:p w:rsidR="008512A5" w:rsidRDefault="008512A5" w:rsidP="00435FD6"/>
          <w:p w:rsidR="008512A5" w:rsidRPr="00955FE7" w:rsidRDefault="008512A5" w:rsidP="00435FD6">
            <w:r>
              <w:t xml:space="preserve">                     1</w:t>
            </w:r>
          </w:p>
        </w:tc>
      </w:tr>
      <w:tr w:rsidR="008512A5" w:rsidRPr="00955FE7" w:rsidTr="00435FD6">
        <w:tc>
          <w:tcPr>
            <w:tcW w:w="900" w:type="dxa"/>
          </w:tcPr>
          <w:p w:rsidR="008512A5" w:rsidRPr="00955FE7" w:rsidRDefault="008512A5" w:rsidP="00435FD6">
            <w:r w:rsidRPr="00955FE7">
              <w:t xml:space="preserve">     5</w:t>
            </w:r>
          </w:p>
        </w:tc>
        <w:tc>
          <w:tcPr>
            <w:tcW w:w="6480" w:type="dxa"/>
          </w:tcPr>
          <w:p w:rsidR="008512A5" w:rsidRPr="00955FE7" w:rsidRDefault="008512A5" w:rsidP="00435FD6">
            <w:pPr>
              <w:tabs>
                <w:tab w:val="num" w:pos="1080"/>
              </w:tabs>
              <w:jc w:val="both"/>
              <w:rPr>
                <w:bCs/>
                <w:sz w:val="28"/>
                <w:szCs w:val="28"/>
              </w:rPr>
            </w:pPr>
            <w:r w:rsidRPr="00955FE7">
              <w:rPr>
                <w:bCs/>
              </w:rPr>
              <w:t xml:space="preserve">власники та користувачі земельних ділянок, зайнятих  житловим фондом; у </w:t>
            </w:r>
            <w:proofErr w:type="spellStart"/>
            <w:r w:rsidRPr="00955FE7">
              <w:rPr>
                <w:bCs/>
              </w:rPr>
              <w:t>т.ч</w:t>
            </w:r>
            <w:proofErr w:type="spellEnd"/>
            <w:r w:rsidRPr="00955FE7">
              <w:rPr>
                <w:bCs/>
              </w:rPr>
              <w:t xml:space="preserve">. громадяни, які використовують земельні ділянки для будівництва та обслуговування житлового будинку, господарських будівель та споруд (присадибна ділянка), для індивідуального дачного будівництва, для будівництва індивідуальних гаражів; </w:t>
            </w:r>
          </w:p>
        </w:tc>
        <w:tc>
          <w:tcPr>
            <w:tcW w:w="2880" w:type="dxa"/>
          </w:tcPr>
          <w:p w:rsidR="008512A5" w:rsidRDefault="008512A5" w:rsidP="00435FD6">
            <w:pPr>
              <w:jc w:val="center"/>
            </w:pPr>
          </w:p>
          <w:p w:rsidR="008512A5" w:rsidRDefault="008512A5" w:rsidP="00435FD6">
            <w:pPr>
              <w:jc w:val="center"/>
            </w:pPr>
          </w:p>
          <w:p w:rsidR="008512A5" w:rsidRPr="00955FE7" w:rsidRDefault="008512A5" w:rsidP="00435FD6">
            <w:pPr>
              <w:jc w:val="center"/>
            </w:pPr>
            <w:r>
              <w:t>0,04</w:t>
            </w:r>
          </w:p>
        </w:tc>
      </w:tr>
      <w:tr w:rsidR="008512A5" w:rsidRPr="00955FE7" w:rsidTr="00435FD6">
        <w:tc>
          <w:tcPr>
            <w:tcW w:w="900" w:type="dxa"/>
          </w:tcPr>
          <w:p w:rsidR="008512A5" w:rsidRPr="00955FE7" w:rsidRDefault="008512A5" w:rsidP="00435FD6"/>
          <w:p w:rsidR="008512A5" w:rsidRPr="00955FE7" w:rsidRDefault="008512A5" w:rsidP="00435FD6">
            <w:r w:rsidRPr="00955FE7">
              <w:t xml:space="preserve">   </w:t>
            </w:r>
            <w:r>
              <w:t xml:space="preserve"> </w:t>
            </w:r>
            <w:r w:rsidRPr="00955FE7">
              <w:t xml:space="preserve"> 6</w:t>
            </w:r>
          </w:p>
        </w:tc>
        <w:tc>
          <w:tcPr>
            <w:tcW w:w="6480" w:type="dxa"/>
          </w:tcPr>
          <w:p w:rsidR="008512A5" w:rsidRPr="00955FE7" w:rsidRDefault="008512A5" w:rsidP="00435FD6">
            <w:pPr>
              <w:tabs>
                <w:tab w:val="num" w:pos="1080"/>
              </w:tabs>
              <w:jc w:val="both"/>
              <w:rPr>
                <w:bCs/>
              </w:rPr>
            </w:pPr>
            <w:r w:rsidRPr="00955FE7">
              <w:rPr>
                <w:bCs/>
              </w:rPr>
              <w:t xml:space="preserve">власники та користувачі земельних ділянок, зайнятих  автостоянками  для зберігання особистих транспортних засобів громадян, які використовуються без отримання прибутку,  </w:t>
            </w:r>
            <w:proofErr w:type="spellStart"/>
            <w:r w:rsidRPr="00955FE7">
              <w:rPr>
                <w:bCs/>
              </w:rPr>
              <w:t>гаражно</w:t>
            </w:r>
            <w:proofErr w:type="spellEnd"/>
            <w:r w:rsidRPr="00955FE7">
              <w:rPr>
                <w:bCs/>
              </w:rPr>
              <w:t xml:space="preserve">-будівельними; </w:t>
            </w:r>
            <w:proofErr w:type="spellStart"/>
            <w:r w:rsidRPr="00955FE7">
              <w:rPr>
                <w:bCs/>
              </w:rPr>
              <w:t>дачно</w:t>
            </w:r>
            <w:proofErr w:type="spellEnd"/>
            <w:r w:rsidRPr="00955FE7">
              <w:rPr>
                <w:bCs/>
              </w:rPr>
              <w:t>-будівельними та  садівницькими товариствами</w:t>
            </w:r>
          </w:p>
        </w:tc>
        <w:tc>
          <w:tcPr>
            <w:tcW w:w="2880" w:type="dxa"/>
          </w:tcPr>
          <w:p w:rsidR="008512A5" w:rsidRDefault="008512A5" w:rsidP="00435FD6">
            <w:pPr>
              <w:jc w:val="center"/>
            </w:pPr>
          </w:p>
          <w:p w:rsidR="008512A5" w:rsidRDefault="008512A5" w:rsidP="00435FD6">
            <w:pPr>
              <w:jc w:val="center"/>
            </w:pPr>
          </w:p>
          <w:p w:rsidR="008512A5" w:rsidRPr="00955FE7" w:rsidRDefault="008512A5" w:rsidP="00435FD6">
            <w:pPr>
              <w:jc w:val="center"/>
            </w:pPr>
            <w:r>
              <w:t>0,04</w:t>
            </w:r>
          </w:p>
        </w:tc>
      </w:tr>
      <w:tr w:rsidR="008512A5" w:rsidRPr="00955FE7" w:rsidTr="00435FD6">
        <w:tc>
          <w:tcPr>
            <w:tcW w:w="900" w:type="dxa"/>
          </w:tcPr>
          <w:p w:rsidR="008512A5" w:rsidRPr="00955FE7" w:rsidRDefault="008512A5" w:rsidP="00435FD6">
            <w:pPr>
              <w:jc w:val="center"/>
            </w:pPr>
            <w:r>
              <w:t>7</w:t>
            </w:r>
          </w:p>
        </w:tc>
        <w:tc>
          <w:tcPr>
            <w:tcW w:w="6480" w:type="dxa"/>
          </w:tcPr>
          <w:p w:rsidR="008512A5" w:rsidRPr="00955FE7" w:rsidRDefault="008512A5" w:rsidP="00435FD6">
            <w:pPr>
              <w:tabs>
                <w:tab w:val="num" w:pos="1080"/>
              </w:tabs>
              <w:jc w:val="both"/>
              <w:rPr>
                <w:bCs/>
              </w:rPr>
            </w:pPr>
            <w:r w:rsidRPr="00955FE7">
              <w:rPr>
                <w:bCs/>
              </w:rPr>
              <w:t xml:space="preserve">власники та користувачі земельних ділянок, які надані для розміщення об’єктів енергетики, що виробляють електричну </w:t>
            </w:r>
            <w:r w:rsidRPr="00955FE7">
              <w:rPr>
                <w:bCs/>
              </w:rPr>
              <w:lastRenderedPageBreak/>
              <w:t>енергію з відновлених джерел енергії</w:t>
            </w:r>
          </w:p>
        </w:tc>
        <w:tc>
          <w:tcPr>
            <w:tcW w:w="2880" w:type="dxa"/>
          </w:tcPr>
          <w:p w:rsidR="008512A5" w:rsidRDefault="008512A5" w:rsidP="00435FD6">
            <w:pPr>
              <w:jc w:val="center"/>
            </w:pPr>
          </w:p>
          <w:p w:rsidR="008512A5" w:rsidRPr="00955FE7" w:rsidRDefault="008512A5" w:rsidP="00435FD6">
            <w:pPr>
              <w:jc w:val="center"/>
            </w:pPr>
            <w:r>
              <w:t>0,5</w:t>
            </w:r>
          </w:p>
        </w:tc>
      </w:tr>
      <w:tr w:rsidR="008512A5" w:rsidRPr="00955FE7" w:rsidTr="00435FD6">
        <w:tc>
          <w:tcPr>
            <w:tcW w:w="900" w:type="dxa"/>
          </w:tcPr>
          <w:p w:rsidR="008512A5" w:rsidRPr="00955FE7" w:rsidRDefault="008512A5" w:rsidP="00435FD6">
            <w:r w:rsidRPr="00955FE7">
              <w:lastRenderedPageBreak/>
              <w:t xml:space="preserve">   </w:t>
            </w:r>
            <w:r>
              <w:t xml:space="preserve">  8</w:t>
            </w:r>
          </w:p>
        </w:tc>
        <w:tc>
          <w:tcPr>
            <w:tcW w:w="6480" w:type="dxa"/>
          </w:tcPr>
          <w:p w:rsidR="008512A5" w:rsidRPr="00955FE7" w:rsidRDefault="008512A5" w:rsidP="00435FD6">
            <w:pPr>
              <w:tabs>
                <w:tab w:val="num" w:pos="1080"/>
              </w:tabs>
              <w:jc w:val="both"/>
              <w:rPr>
                <w:bCs/>
              </w:rPr>
            </w:pPr>
            <w:r w:rsidRPr="00955FE7">
              <w:rPr>
                <w:bCs/>
              </w:rPr>
              <w:t xml:space="preserve">власники вбудовано-прибудованих нежитлових приміщень, розташованих в житлових  будинках </w:t>
            </w:r>
          </w:p>
        </w:tc>
        <w:tc>
          <w:tcPr>
            <w:tcW w:w="2880" w:type="dxa"/>
          </w:tcPr>
          <w:p w:rsidR="008512A5" w:rsidRPr="00955FE7" w:rsidRDefault="008512A5" w:rsidP="00435FD6">
            <w:r>
              <w:t xml:space="preserve">                     3</w:t>
            </w:r>
          </w:p>
        </w:tc>
      </w:tr>
      <w:tr w:rsidR="008512A5" w:rsidRPr="00955FE7" w:rsidTr="00435FD6">
        <w:tc>
          <w:tcPr>
            <w:tcW w:w="900" w:type="dxa"/>
          </w:tcPr>
          <w:p w:rsidR="008512A5" w:rsidRPr="00955FE7" w:rsidRDefault="008512A5" w:rsidP="00435FD6">
            <w:pPr>
              <w:jc w:val="center"/>
            </w:pPr>
            <w:r>
              <w:t>9</w:t>
            </w:r>
          </w:p>
        </w:tc>
        <w:tc>
          <w:tcPr>
            <w:tcW w:w="6480" w:type="dxa"/>
          </w:tcPr>
          <w:p w:rsidR="008512A5" w:rsidRPr="00955FE7" w:rsidRDefault="008512A5" w:rsidP="00435FD6">
            <w:pPr>
              <w:tabs>
                <w:tab w:val="num" w:pos="1080"/>
              </w:tabs>
              <w:jc w:val="both"/>
              <w:rPr>
                <w:bCs/>
              </w:rPr>
            </w:pPr>
            <w:r w:rsidRPr="00955FE7">
              <w:rPr>
                <w:bCs/>
              </w:rPr>
              <w:t>землекористувачі, які набули земельні ділянки на праві постійного користування, за винятком платників, зазначених у пп.4-8, 12</w:t>
            </w:r>
          </w:p>
        </w:tc>
        <w:tc>
          <w:tcPr>
            <w:tcW w:w="2880" w:type="dxa"/>
          </w:tcPr>
          <w:p w:rsidR="008512A5" w:rsidRDefault="008512A5" w:rsidP="00435FD6">
            <w:r>
              <w:t xml:space="preserve">                    </w:t>
            </w:r>
          </w:p>
          <w:p w:rsidR="008512A5" w:rsidRPr="00955FE7" w:rsidRDefault="008512A5" w:rsidP="00435FD6">
            <w:r>
              <w:t xml:space="preserve">                     1</w:t>
            </w:r>
          </w:p>
        </w:tc>
      </w:tr>
      <w:tr w:rsidR="008512A5" w:rsidRPr="00955FE7" w:rsidTr="00435FD6">
        <w:tc>
          <w:tcPr>
            <w:tcW w:w="900" w:type="dxa"/>
          </w:tcPr>
          <w:p w:rsidR="008512A5" w:rsidRPr="00955FE7" w:rsidRDefault="008512A5" w:rsidP="00435FD6">
            <w:pPr>
              <w:jc w:val="center"/>
            </w:pPr>
            <w:r w:rsidRPr="00955FE7">
              <w:t>1</w:t>
            </w:r>
            <w:r>
              <w:t>0</w:t>
            </w:r>
          </w:p>
        </w:tc>
        <w:tc>
          <w:tcPr>
            <w:tcW w:w="6480" w:type="dxa"/>
          </w:tcPr>
          <w:p w:rsidR="008512A5" w:rsidRPr="00955FE7" w:rsidRDefault="008512A5" w:rsidP="00435FD6">
            <w:pPr>
              <w:tabs>
                <w:tab w:val="num" w:pos="1080"/>
              </w:tabs>
              <w:jc w:val="both"/>
              <w:rPr>
                <w:bCs/>
              </w:rPr>
            </w:pPr>
            <w:r w:rsidRPr="00955FE7">
              <w:t>землекористувачі, які мають у постійному користуванні земельні ділянки, але не можуть мати їх на такому праві відповідно до статті 92 Земельного кодексу України</w:t>
            </w:r>
          </w:p>
        </w:tc>
        <w:tc>
          <w:tcPr>
            <w:tcW w:w="2880" w:type="dxa"/>
          </w:tcPr>
          <w:p w:rsidR="008512A5" w:rsidRDefault="008512A5" w:rsidP="00435FD6"/>
          <w:p w:rsidR="008512A5" w:rsidRPr="00955FE7" w:rsidRDefault="008512A5" w:rsidP="00435FD6">
            <w:r>
              <w:t xml:space="preserve">                     3</w:t>
            </w:r>
          </w:p>
        </w:tc>
      </w:tr>
      <w:tr w:rsidR="008512A5" w:rsidRPr="00955FE7" w:rsidTr="00435FD6">
        <w:tc>
          <w:tcPr>
            <w:tcW w:w="900" w:type="dxa"/>
          </w:tcPr>
          <w:p w:rsidR="008512A5" w:rsidRPr="001601A5" w:rsidRDefault="008512A5" w:rsidP="00435FD6">
            <w:pPr>
              <w:jc w:val="center"/>
            </w:pPr>
            <w:r w:rsidRPr="001601A5">
              <w:t>1</w:t>
            </w:r>
            <w:r>
              <w:t>1</w:t>
            </w:r>
          </w:p>
        </w:tc>
        <w:tc>
          <w:tcPr>
            <w:tcW w:w="6480" w:type="dxa"/>
          </w:tcPr>
          <w:p w:rsidR="008512A5" w:rsidRPr="001601A5" w:rsidRDefault="008512A5" w:rsidP="00435FD6">
            <w:pPr>
              <w:tabs>
                <w:tab w:val="num" w:pos="1080"/>
              </w:tabs>
              <w:jc w:val="both"/>
              <w:rPr>
                <w:i/>
              </w:rPr>
            </w:pPr>
            <w:r w:rsidRPr="001601A5">
              <w:rPr>
                <w:i/>
              </w:rPr>
              <w:t>інші землекористувачі, для яких можливо визначити інші ставки земельного податку</w:t>
            </w:r>
          </w:p>
        </w:tc>
        <w:tc>
          <w:tcPr>
            <w:tcW w:w="2880" w:type="dxa"/>
          </w:tcPr>
          <w:p w:rsidR="008512A5" w:rsidRPr="0025788F" w:rsidRDefault="008512A5" w:rsidP="00435FD6">
            <w:pPr>
              <w:rPr>
                <w:b/>
              </w:rPr>
            </w:pPr>
            <w:r>
              <w:rPr>
                <w:b/>
              </w:rPr>
              <w:t xml:space="preserve">                     </w:t>
            </w:r>
            <w:r w:rsidRPr="00C9155A">
              <w:t>3</w:t>
            </w:r>
          </w:p>
        </w:tc>
      </w:tr>
      <w:tr w:rsidR="008512A5" w:rsidRPr="00955FE7" w:rsidTr="00435FD6">
        <w:tc>
          <w:tcPr>
            <w:tcW w:w="900" w:type="dxa"/>
          </w:tcPr>
          <w:p w:rsidR="008512A5" w:rsidRPr="001601A5" w:rsidRDefault="008512A5" w:rsidP="00435FD6">
            <w:pPr>
              <w:jc w:val="center"/>
            </w:pPr>
            <w:r w:rsidRPr="001601A5">
              <w:t>1</w:t>
            </w:r>
            <w:r>
              <w:t>2</w:t>
            </w:r>
          </w:p>
        </w:tc>
        <w:tc>
          <w:tcPr>
            <w:tcW w:w="6480" w:type="dxa"/>
          </w:tcPr>
          <w:p w:rsidR="008512A5" w:rsidRPr="001601A5" w:rsidRDefault="008512A5" w:rsidP="00435FD6">
            <w:pPr>
              <w:spacing w:line="276" w:lineRule="auto"/>
              <w:rPr>
                <w:i/>
              </w:rPr>
            </w:pPr>
            <w:r w:rsidRPr="001601A5">
              <w:rPr>
                <w:i/>
              </w:rPr>
              <w:t>земельні ділянки за межами населених пунктів, на яких розташовані господарські двори</w:t>
            </w:r>
            <w:r>
              <w:t xml:space="preserve"> </w:t>
            </w:r>
            <w:r>
              <w:rPr>
                <w:i/>
              </w:rPr>
              <w:t>(за умови створення)</w:t>
            </w:r>
          </w:p>
        </w:tc>
        <w:tc>
          <w:tcPr>
            <w:tcW w:w="2880" w:type="dxa"/>
          </w:tcPr>
          <w:p w:rsidR="008512A5" w:rsidRDefault="008512A5" w:rsidP="00435FD6">
            <w:pPr>
              <w:jc w:val="center"/>
              <w:rPr>
                <w:b/>
                <w:i/>
                <w:u w:val="single"/>
              </w:rPr>
            </w:pPr>
          </w:p>
          <w:p w:rsidR="008512A5" w:rsidRPr="00C9155A" w:rsidRDefault="008512A5" w:rsidP="00435FD6">
            <w:pPr>
              <w:jc w:val="center"/>
            </w:pPr>
            <w:r>
              <w:t>5</w:t>
            </w:r>
          </w:p>
        </w:tc>
      </w:tr>
    </w:tbl>
    <w:p w:rsidR="008512A5" w:rsidRPr="00955FE7" w:rsidRDefault="008512A5" w:rsidP="008512A5"/>
    <w:p w:rsidR="008512A5" w:rsidRDefault="008512A5" w:rsidP="008512A5"/>
    <w:p w:rsidR="008512A5" w:rsidRDefault="008512A5" w:rsidP="008512A5"/>
    <w:p w:rsidR="008512A5" w:rsidRPr="00955FE7" w:rsidRDefault="008512A5" w:rsidP="008512A5"/>
    <w:p w:rsidR="00504D38" w:rsidRPr="000C7CBE" w:rsidRDefault="008512A5" w:rsidP="00A94D8A">
      <w:pPr>
        <w:tabs>
          <w:tab w:val="left" w:pos="7512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55FE7">
        <w:rPr>
          <w:sz w:val="28"/>
          <w:szCs w:val="28"/>
        </w:rPr>
        <w:t>Секретар ради</w:t>
      </w:r>
      <w:r w:rsidRPr="00C16E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</w:t>
      </w:r>
      <w:proofErr w:type="spellStart"/>
      <w:r>
        <w:rPr>
          <w:sz w:val="28"/>
          <w:szCs w:val="28"/>
        </w:rPr>
        <w:t>В.Щур</w:t>
      </w:r>
      <w:proofErr w:type="spellEnd"/>
      <w:r w:rsidRPr="00C16E47">
        <w:rPr>
          <w:sz w:val="28"/>
          <w:szCs w:val="28"/>
        </w:rPr>
        <w:tab/>
      </w:r>
    </w:p>
    <w:p w:rsidR="00504D38" w:rsidRPr="000C7CBE" w:rsidRDefault="00504D38" w:rsidP="00504D38">
      <w:pPr>
        <w:spacing w:line="276" w:lineRule="auto"/>
        <w:rPr>
          <w:sz w:val="28"/>
          <w:szCs w:val="28"/>
        </w:rPr>
      </w:pPr>
    </w:p>
    <w:p w:rsidR="00504D38" w:rsidRPr="000C7CBE" w:rsidRDefault="00504D38" w:rsidP="00504D38">
      <w:pPr>
        <w:spacing w:line="276" w:lineRule="auto"/>
        <w:rPr>
          <w:sz w:val="28"/>
          <w:szCs w:val="28"/>
        </w:rPr>
      </w:pPr>
    </w:p>
    <w:p w:rsidR="00504D38" w:rsidRPr="000C7CBE" w:rsidRDefault="00504D38" w:rsidP="00504D38">
      <w:pPr>
        <w:spacing w:line="276" w:lineRule="auto"/>
        <w:rPr>
          <w:sz w:val="28"/>
          <w:szCs w:val="28"/>
        </w:rPr>
      </w:pPr>
    </w:p>
    <w:p w:rsidR="00504D38" w:rsidRPr="000C7CBE" w:rsidRDefault="00504D38" w:rsidP="00504D38">
      <w:pPr>
        <w:spacing w:line="276" w:lineRule="auto"/>
        <w:rPr>
          <w:sz w:val="28"/>
          <w:szCs w:val="28"/>
        </w:rPr>
      </w:pPr>
    </w:p>
    <w:sectPr w:rsidR="00504D38" w:rsidRPr="000C7CBE" w:rsidSect="00725F08">
      <w:pgSz w:w="11906" w:h="16838"/>
      <w:pgMar w:top="1134" w:right="566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57684"/>
    <w:multiLevelType w:val="hybridMultilevel"/>
    <w:tmpl w:val="3FDC3204"/>
    <w:lvl w:ilvl="0" w:tplc="88405F8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F466EE"/>
    <w:multiLevelType w:val="hybridMultilevel"/>
    <w:tmpl w:val="419678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FA0176"/>
    <w:multiLevelType w:val="hybridMultilevel"/>
    <w:tmpl w:val="571A0028"/>
    <w:lvl w:ilvl="0" w:tplc="6A801C1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15642F0"/>
    <w:multiLevelType w:val="hybridMultilevel"/>
    <w:tmpl w:val="5D9ED90A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D38"/>
    <w:rsid w:val="000C7CBE"/>
    <w:rsid w:val="00227AD0"/>
    <w:rsid w:val="002B35A1"/>
    <w:rsid w:val="00504D38"/>
    <w:rsid w:val="005141C8"/>
    <w:rsid w:val="005A35D9"/>
    <w:rsid w:val="007A3AEF"/>
    <w:rsid w:val="007B741B"/>
    <w:rsid w:val="008512A5"/>
    <w:rsid w:val="00A36A9B"/>
    <w:rsid w:val="00A94D8A"/>
    <w:rsid w:val="00F33F0E"/>
    <w:rsid w:val="00F74207"/>
    <w:rsid w:val="00FF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4D38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4D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4D38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04D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99"/>
    <w:qFormat/>
    <w:rsid w:val="00504D38"/>
    <w:pPr>
      <w:ind w:left="720"/>
      <w:contextualSpacing/>
    </w:pPr>
  </w:style>
  <w:style w:type="character" w:styleId="a4">
    <w:name w:val="Hyperlink"/>
    <w:basedOn w:val="a0"/>
    <w:uiPriority w:val="99"/>
    <w:rsid w:val="00504D38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semiHidden/>
    <w:unhideWhenUsed/>
    <w:rsid w:val="00504D3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04D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qFormat/>
    <w:rsid w:val="00504D38"/>
    <w:pPr>
      <w:jc w:val="center"/>
    </w:pPr>
    <w:rPr>
      <w:szCs w:val="20"/>
      <w:lang w:val="ru-RU"/>
    </w:rPr>
  </w:style>
  <w:style w:type="table" w:styleId="a6">
    <w:name w:val="Table Grid"/>
    <w:basedOn w:val="a1"/>
    <w:rsid w:val="00504D38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qFormat/>
    <w:rsid w:val="00504D38"/>
    <w:rPr>
      <w:b/>
      <w:bCs/>
    </w:rPr>
  </w:style>
  <w:style w:type="paragraph" w:styleId="a8">
    <w:name w:val="No Spacing"/>
    <w:uiPriority w:val="1"/>
    <w:qFormat/>
    <w:rsid w:val="00504D38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504D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4D3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vps2">
    <w:name w:val="rvps2"/>
    <w:basedOn w:val="a"/>
    <w:rsid w:val="008512A5"/>
    <w:pPr>
      <w:spacing w:before="100" w:beforeAutospacing="1" w:after="100" w:afterAutospacing="1"/>
    </w:pPr>
    <w:rPr>
      <w:lang w:val="ru-RU"/>
    </w:rPr>
  </w:style>
  <w:style w:type="paragraph" w:styleId="ab">
    <w:name w:val="Title"/>
    <w:basedOn w:val="a"/>
    <w:link w:val="ac"/>
    <w:qFormat/>
    <w:rsid w:val="008512A5"/>
    <w:pPr>
      <w:autoSpaceDE w:val="0"/>
      <w:autoSpaceDN w:val="0"/>
      <w:jc w:val="center"/>
    </w:pPr>
    <w:rPr>
      <w:b/>
      <w:bCs/>
      <w:i/>
      <w:iCs/>
      <w:sz w:val="32"/>
      <w:szCs w:val="32"/>
    </w:rPr>
  </w:style>
  <w:style w:type="character" w:customStyle="1" w:styleId="ac">
    <w:name w:val="Название Знак"/>
    <w:basedOn w:val="a0"/>
    <w:link w:val="ab"/>
    <w:rsid w:val="008512A5"/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4D38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4D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4D38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04D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99"/>
    <w:qFormat/>
    <w:rsid w:val="00504D38"/>
    <w:pPr>
      <w:ind w:left="720"/>
      <w:contextualSpacing/>
    </w:pPr>
  </w:style>
  <w:style w:type="character" w:styleId="a4">
    <w:name w:val="Hyperlink"/>
    <w:basedOn w:val="a0"/>
    <w:uiPriority w:val="99"/>
    <w:rsid w:val="00504D38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semiHidden/>
    <w:unhideWhenUsed/>
    <w:rsid w:val="00504D3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04D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qFormat/>
    <w:rsid w:val="00504D38"/>
    <w:pPr>
      <w:jc w:val="center"/>
    </w:pPr>
    <w:rPr>
      <w:szCs w:val="20"/>
      <w:lang w:val="ru-RU"/>
    </w:rPr>
  </w:style>
  <w:style w:type="table" w:styleId="a6">
    <w:name w:val="Table Grid"/>
    <w:basedOn w:val="a1"/>
    <w:rsid w:val="00504D38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qFormat/>
    <w:rsid w:val="00504D38"/>
    <w:rPr>
      <w:b/>
      <w:bCs/>
    </w:rPr>
  </w:style>
  <w:style w:type="paragraph" w:styleId="a8">
    <w:name w:val="No Spacing"/>
    <w:uiPriority w:val="1"/>
    <w:qFormat/>
    <w:rsid w:val="00504D38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504D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4D3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vps2">
    <w:name w:val="rvps2"/>
    <w:basedOn w:val="a"/>
    <w:rsid w:val="008512A5"/>
    <w:pPr>
      <w:spacing w:before="100" w:beforeAutospacing="1" w:after="100" w:afterAutospacing="1"/>
    </w:pPr>
    <w:rPr>
      <w:lang w:val="ru-RU"/>
    </w:rPr>
  </w:style>
  <w:style w:type="paragraph" w:styleId="ab">
    <w:name w:val="Title"/>
    <w:basedOn w:val="a"/>
    <w:link w:val="ac"/>
    <w:qFormat/>
    <w:rsid w:val="008512A5"/>
    <w:pPr>
      <w:autoSpaceDE w:val="0"/>
      <w:autoSpaceDN w:val="0"/>
      <w:jc w:val="center"/>
    </w:pPr>
    <w:rPr>
      <w:b/>
      <w:bCs/>
      <w:i/>
      <w:iCs/>
      <w:sz w:val="32"/>
      <w:szCs w:val="32"/>
    </w:rPr>
  </w:style>
  <w:style w:type="character" w:customStyle="1" w:styleId="ac">
    <w:name w:val="Название Знак"/>
    <w:basedOn w:val="a0"/>
    <w:link w:val="ab"/>
    <w:rsid w:val="008512A5"/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vangard.odessa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3479</Words>
  <Characters>1984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6</cp:revision>
  <cp:lastPrinted>2015-07-17T06:22:00Z</cp:lastPrinted>
  <dcterms:created xsi:type="dcterms:W3CDTF">2015-07-16T11:19:00Z</dcterms:created>
  <dcterms:modified xsi:type="dcterms:W3CDTF">2015-07-22T13:55:00Z</dcterms:modified>
</cp:coreProperties>
</file>