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1822" w14:textId="77777777" w:rsidR="00922602" w:rsidRPr="006A1B4F" w:rsidRDefault="00312A85" w:rsidP="001B12B1">
      <w:pPr>
        <w:pStyle w:val="10"/>
        <w:keepNext/>
        <w:keepLines/>
        <w:pBdr>
          <w:top w:val="nil"/>
          <w:left w:val="nil"/>
          <w:bottom w:val="nil"/>
          <w:right w:val="nil"/>
          <w:between w:val="nil"/>
        </w:pBdr>
        <w:jc w:val="center"/>
        <w:rPr>
          <w:rFonts w:asciiTheme="majorBidi" w:eastAsia="Times New Roman" w:hAnsiTheme="majorBidi" w:cstheme="majorBidi"/>
          <w:b/>
          <w:color w:val="000000"/>
        </w:rPr>
      </w:pPr>
      <w:bookmarkStart w:id="0" w:name="gjdgxs" w:colFirst="0" w:colLast="0"/>
      <w:bookmarkStart w:id="1" w:name="_30j0zll" w:colFirst="0" w:colLast="0"/>
      <w:bookmarkEnd w:id="0"/>
      <w:bookmarkEnd w:id="1"/>
      <w:r w:rsidRPr="006A1B4F">
        <w:rPr>
          <w:rFonts w:asciiTheme="majorBidi" w:eastAsia="Times New Roman" w:hAnsiTheme="majorBidi" w:cstheme="majorBidi"/>
          <w:b/>
          <w:color w:val="000000"/>
        </w:rPr>
        <w:t>АНАЛІЗ РЕГУЛЯТОРНОГО ВПЛИВУ</w:t>
      </w:r>
    </w:p>
    <w:p w14:paraId="2CB1BDC0" w14:textId="385F07C6"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 xml:space="preserve">проекту рішення </w:t>
      </w:r>
      <w:r w:rsidR="006F2474" w:rsidRPr="006A1B4F">
        <w:rPr>
          <w:rFonts w:asciiTheme="majorBidi" w:eastAsia="Times New Roman" w:hAnsiTheme="majorBidi" w:cstheme="majorBidi"/>
          <w:b/>
          <w:color w:val="000000"/>
        </w:rPr>
        <w:t>Авангардівської селищної</w:t>
      </w:r>
      <w:r w:rsidRPr="006A1B4F">
        <w:rPr>
          <w:rFonts w:asciiTheme="majorBidi" w:eastAsia="Times New Roman" w:hAnsiTheme="majorBidi" w:cstheme="majorBidi"/>
          <w:b/>
          <w:color w:val="000000"/>
        </w:rPr>
        <w:t xml:space="preserve"> ради </w:t>
      </w:r>
    </w:p>
    <w:p w14:paraId="39C929B8" w14:textId="25253422"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b/>
          <w:color w:val="000000"/>
        </w:rPr>
      </w:pPr>
      <w:r w:rsidRPr="006A1B4F">
        <w:rPr>
          <w:rFonts w:asciiTheme="majorBidi" w:eastAsia="Times New Roman" w:hAnsiTheme="majorBidi" w:cstheme="majorBidi"/>
          <w:color w:val="000000"/>
        </w:rPr>
        <w:t>«</w:t>
      </w:r>
      <w:bookmarkStart w:id="2" w:name="_Hlk137022427"/>
      <w:r w:rsidRPr="006A1B4F">
        <w:rPr>
          <w:rFonts w:asciiTheme="majorBidi" w:eastAsia="Times New Roman" w:hAnsiTheme="majorBidi" w:cstheme="majorBidi"/>
          <w:color w:val="000000"/>
        </w:rPr>
        <w:t xml:space="preserve">Про затвердження Методики розрахунку орендної плати за майно комунальної власності </w:t>
      </w:r>
      <w:r w:rsidR="000F1239" w:rsidRPr="006A1B4F">
        <w:rPr>
          <w:rFonts w:asciiTheme="majorBidi" w:eastAsia="Times New Roman" w:hAnsiTheme="majorBidi" w:cstheme="majorBidi"/>
          <w:color w:val="000000"/>
        </w:rPr>
        <w:t xml:space="preserve">Авангардівської селищної </w:t>
      </w:r>
      <w:r w:rsidRPr="006A1B4F">
        <w:rPr>
          <w:rFonts w:asciiTheme="majorBidi" w:eastAsia="Times New Roman" w:hAnsiTheme="majorBidi" w:cstheme="majorBidi"/>
          <w:color w:val="000000"/>
        </w:rPr>
        <w:t>територіальної громади</w:t>
      </w:r>
      <w:bookmarkEnd w:id="2"/>
      <w:r w:rsidR="006F2474" w:rsidRPr="006A1B4F">
        <w:rPr>
          <w:rFonts w:asciiTheme="majorBidi" w:eastAsia="Times New Roman" w:hAnsiTheme="majorBidi" w:cstheme="majorBidi"/>
          <w:color w:val="000000"/>
        </w:rPr>
        <w:t>»</w:t>
      </w:r>
      <w:r w:rsidRPr="006A1B4F">
        <w:rPr>
          <w:rFonts w:asciiTheme="majorBidi" w:eastAsia="Times New Roman" w:hAnsiTheme="majorBidi" w:cstheme="majorBidi"/>
          <w:color w:val="000000"/>
        </w:rPr>
        <w:t xml:space="preserve"> </w:t>
      </w:r>
    </w:p>
    <w:p w14:paraId="75524FCE" w14:textId="77777777" w:rsidR="00922602" w:rsidRPr="006A1B4F" w:rsidRDefault="00922602" w:rsidP="001B12B1">
      <w:pPr>
        <w:pStyle w:val="10"/>
        <w:pBdr>
          <w:top w:val="nil"/>
          <w:left w:val="nil"/>
          <w:bottom w:val="nil"/>
          <w:right w:val="nil"/>
          <w:between w:val="nil"/>
        </w:pBdr>
        <w:jc w:val="center"/>
        <w:rPr>
          <w:rFonts w:asciiTheme="majorBidi" w:eastAsia="Times New Roman" w:hAnsiTheme="majorBidi" w:cstheme="majorBidi"/>
          <w:b/>
          <w:i/>
          <w:color w:val="000000"/>
        </w:rPr>
      </w:pPr>
    </w:p>
    <w:p w14:paraId="71CC9B7A" w14:textId="77777777" w:rsidR="00922602" w:rsidRPr="006A1B4F" w:rsidRDefault="00312A85" w:rsidP="001B12B1">
      <w:pPr>
        <w:pStyle w:val="10"/>
        <w:keepNext/>
        <w:keepLines/>
        <w:pBdr>
          <w:top w:val="nil"/>
          <w:left w:val="nil"/>
          <w:bottom w:val="nil"/>
          <w:right w:val="nil"/>
          <w:between w:val="nil"/>
        </w:pBdr>
        <w:tabs>
          <w:tab w:val="left" w:pos="3700"/>
        </w:tabs>
        <w:jc w:val="center"/>
        <w:rPr>
          <w:rFonts w:asciiTheme="majorBidi" w:eastAsia="Times New Roman" w:hAnsiTheme="majorBidi" w:cstheme="majorBidi"/>
          <w:b/>
          <w:color w:val="000000"/>
        </w:rPr>
      </w:pPr>
      <w:bookmarkStart w:id="3" w:name="1fob9te" w:colFirst="0" w:colLast="0"/>
      <w:bookmarkEnd w:id="3"/>
      <w:r w:rsidRPr="006A1B4F">
        <w:rPr>
          <w:rFonts w:asciiTheme="majorBidi" w:eastAsia="Times New Roman" w:hAnsiTheme="majorBidi" w:cstheme="majorBidi"/>
          <w:b/>
          <w:color w:val="000000"/>
        </w:rPr>
        <w:t>І. Визначення проблеми</w:t>
      </w:r>
    </w:p>
    <w:p w14:paraId="51758B15" w14:textId="77777777" w:rsidR="00922602" w:rsidRPr="006A1B4F" w:rsidRDefault="00922602" w:rsidP="001B12B1">
      <w:pPr>
        <w:pStyle w:val="10"/>
        <w:keepNext/>
        <w:keepLines/>
        <w:pBdr>
          <w:top w:val="nil"/>
          <w:left w:val="nil"/>
          <w:bottom w:val="nil"/>
          <w:right w:val="nil"/>
          <w:between w:val="nil"/>
        </w:pBdr>
        <w:tabs>
          <w:tab w:val="left" w:pos="3700"/>
        </w:tabs>
        <w:rPr>
          <w:rFonts w:asciiTheme="majorBidi" w:eastAsia="Times New Roman" w:hAnsiTheme="majorBidi" w:cstheme="majorBidi"/>
          <w:b/>
          <w:i/>
          <w:color w:val="000000"/>
        </w:rPr>
      </w:pPr>
    </w:p>
    <w:p w14:paraId="256596E6" w14:textId="77777777" w:rsidR="00922602" w:rsidRPr="006A1B4F" w:rsidRDefault="00312A85" w:rsidP="001B12B1">
      <w:pPr>
        <w:pStyle w:val="10"/>
        <w:keepNext/>
        <w:keepLines/>
        <w:pBdr>
          <w:top w:val="nil"/>
          <w:left w:val="nil"/>
          <w:bottom w:val="nil"/>
          <w:right w:val="nil"/>
          <w:between w:val="nil"/>
        </w:pBdr>
        <w:tabs>
          <w:tab w:val="left" w:pos="3700"/>
        </w:tabs>
        <w:ind w:firstLine="708"/>
        <w:jc w:val="both"/>
        <w:rPr>
          <w:rFonts w:asciiTheme="majorBidi" w:eastAsia="Times New Roman" w:hAnsiTheme="majorBidi" w:cstheme="majorBidi"/>
          <w:b/>
          <w:color w:val="000000"/>
        </w:rPr>
      </w:pPr>
      <w:r w:rsidRPr="006A1B4F">
        <w:rPr>
          <w:rFonts w:asciiTheme="majorBidi" w:eastAsia="Times New Roman" w:hAnsiTheme="majorBidi" w:cstheme="majorBidi"/>
          <w:color w:val="000000"/>
        </w:rPr>
        <w:t xml:space="preserve">Частиною 2 статті 2 Закону України «Про оренду державного та комунального майна» від 03 жовтня 2019 року № 157-ІХ «Про оренду державного та комунального майна» </w:t>
      </w:r>
      <w:proofErr w:type="spellStart"/>
      <w:r w:rsidR="002A5A88" w:rsidRPr="006A1B4F">
        <w:rPr>
          <w:rFonts w:asciiTheme="majorBidi" w:eastAsia="Times New Roman" w:hAnsiTheme="majorBidi" w:cstheme="majorBidi"/>
          <w:color w:val="000000"/>
          <w:lang w:val="ru-RU"/>
        </w:rPr>
        <w:t>встановлено</w:t>
      </w:r>
      <w:proofErr w:type="spellEnd"/>
      <w:r w:rsidR="002A5A88" w:rsidRPr="006A1B4F">
        <w:rPr>
          <w:rFonts w:asciiTheme="majorBidi" w:eastAsia="Times New Roman" w:hAnsiTheme="majorBidi" w:cstheme="majorBidi"/>
          <w:color w:val="000000"/>
          <w:lang w:val="ru-RU"/>
        </w:rPr>
        <w:t xml:space="preserve">, </w:t>
      </w:r>
      <w:proofErr w:type="spellStart"/>
      <w:r w:rsidR="002A5A88" w:rsidRPr="006A1B4F">
        <w:rPr>
          <w:rFonts w:asciiTheme="majorBidi" w:eastAsia="Times New Roman" w:hAnsiTheme="majorBidi" w:cstheme="majorBidi"/>
          <w:color w:val="000000"/>
          <w:lang w:val="ru-RU"/>
        </w:rPr>
        <w:t>що</w:t>
      </w:r>
      <w:proofErr w:type="spellEnd"/>
      <w:r w:rsidR="002A5A88" w:rsidRPr="006A1B4F">
        <w:rPr>
          <w:rFonts w:asciiTheme="majorBidi" w:eastAsia="Times New Roman" w:hAnsiTheme="majorBidi" w:cstheme="majorBidi"/>
          <w:color w:val="000000"/>
          <w:lang w:val="ru-RU"/>
        </w:rPr>
        <w:t xml:space="preserve"> </w:t>
      </w:r>
      <w:r w:rsidRPr="006A1B4F">
        <w:rPr>
          <w:rFonts w:asciiTheme="majorBidi" w:eastAsia="Times New Roman" w:hAnsiTheme="majorBidi" w:cstheme="majorBidi"/>
          <w:color w:val="000000"/>
        </w:rPr>
        <w:t xml:space="preserve">передача в оренду майна, що перебуває у комунальній власності, здійснюється органами місцевого самоврядування відповідно до вимог цього Закону. </w:t>
      </w:r>
    </w:p>
    <w:p w14:paraId="455AA91B" w14:textId="77777777" w:rsidR="00922602" w:rsidRPr="006A1B4F" w:rsidRDefault="00312A85" w:rsidP="001B12B1">
      <w:pPr>
        <w:pStyle w:val="10"/>
        <w:keepNext/>
        <w:keepLines/>
        <w:pBdr>
          <w:top w:val="nil"/>
          <w:left w:val="nil"/>
          <w:bottom w:val="nil"/>
          <w:right w:val="nil"/>
          <w:between w:val="nil"/>
        </w:pBdr>
        <w:tabs>
          <w:tab w:val="left" w:pos="3700"/>
        </w:tabs>
        <w:ind w:firstLine="708"/>
        <w:jc w:val="both"/>
        <w:rPr>
          <w:rFonts w:asciiTheme="majorBidi" w:eastAsia="Times New Roman" w:hAnsiTheme="majorBidi" w:cstheme="majorBidi"/>
          <w:b/>
          <w:color w:val="000000"/>
        </w:rPr>
      </w:pPr>
      <w:r w:rsidRPr="006A1B4F">
        <w:rPr>
          <w:rFonts w:asciiTheme="majorBidi" w:eastAsia="Times New Roman" w:hAnsiTheme="majorBidi" w:cstheme="majorBidi"/>
          <w:color w:val="000000"/>
        </w:rPr>
        <w:t>Відповідно до частини 2 статті 17 вказаного Закону 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14:paraId="42164973" w14:textId="77777777" w:rsidR="00922602" w:rsidRPr="006A1B4F" w:rsidRDefault="00312A85"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28 квітня 2021 року Кабінетом Мініст</w:t>
      </w:r>
      <w:r w:rsidR="001B12B1" w:rsidRPr="006A1B4F">
        <w:rPr>
          <w:rFonts w:asciiTheme="majorBidi" w:eastAsia="Times New Roman" w:hAnsiTheme="majorBidi" w:cstheme="majorBidi"/>
          <w:color w:val="000000"/>
        </w:rPr>
        <w:t xml:space="preserve">рів України прийнято Постанову </w:t>
      </w:r>
      <w:r w:rsidRPr="006A1B4F">
        <w:rPr>
          <w:rFonts w:asciiTheme="majorBidi" w:eastAsia="Times New Roman" w:hAnsiTheme="majorBidi" w:cstheme="majorBidi"/>
          <w:color w:val="000000"/>
        </w:rPr>
        <w:t>№ 630 «Деякі питання розрахунку орендної плати за державне майно», якою затверджено нову Методику розрахунку орендної плати за державне майно та визнано такою, що втратила чинність, постанову Кабінету Міністрів України від 4 жовтня 1995 року № 786 «Про Методику розрахунку орендної плати за державне майно та пропорції її розподілу».</w:t>
      </w:r>
    </w:p>
    <w:p w14:paraId="39E518F6" w14:textId="76AED132" w:rsidR="00922602" w:rsidRPr="006A1B4F" w:rsidRDefault="00312A85"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Відтак, станом на сьогодні відсутній універсальний акт, розроблений з урахуванням положень чинного законодавства, що регулює відносини у сфері справляння плати за комунальне майно, пристосований до потреб </w:t>
      </w:r>
      <w:r w:rsidR="000F1239" w:rsidRPr="006A1B4F">
        <w:rPr>
          <w:rFonts w:asciiTheme="majorBidi" w:eastAsia="Times New Roman" w:hAnsiTheme="majorBidi" w:cstheme="majorBidi"/>
          <w:color w:val="000000"/>
        </w:rPr>
        <w:t>Авангардівської селищної територіальної громади</w:t>
      </w:r>
      <w:r w:rsidRPr="006A1B4F">
        <w:rPr>
          <w:rFonts w:asciiTheme="majorBidi" w:eastAsia="Times New Roman" w:hAnsiTheme="majorBidi" w:cstheme="majorBidi"/>
          <w:color w:val="000000"/>
        </w:rPr>
        <w:t>.</w:t>
      </w:r>
      <w:r w:rsidR="000F1239" w:rsidRPr="006A1B4F">
        <w:rPr>
          <w:rFonts w:asciiTheme="majorBidi" w:eastAsia="Times New Roman" w:hAnsiTheme="majorBidi" w:cstheme="majorBidi"/>
          <w:color w:val="000000"/>
        </w:rPr>
        <w:t xml:space="preserve"> </w:t>
      </w:r>
    </w:p>
    <w:p w14:paraId="43FF9B58" w14:textId="63B11F10" w:rsidR="00C03213" w:rsidRPr="006A1B4F" w:rsidRDefault="00C03213"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З огляду на зазначене, виникає ряд питань та проблем при передачі комунального майна </w:t>
      </w:r>
      <w:r w:rsidR="00327E98" w:rsidRPr="006A1B4F">
        <w:rPr>
          <w:rFonts w:asciiTheme="majorBidi" w:eastAsia="Times New Roman" w:hAnsiTheme="majorBidi" w:cstheme="majorBidi"/>
          <w:color w:val="000000"/>
        </w:rPr>
        <w:t xml:space="preserve">Авангардівської територіальної громади </w:t>
      </w:r>
      <w:r w:rsidRPr="006A1B4F">
        <w:rPr>
          <w:rFonts w:asciiTheme="majorBidi" w:eastAsia="Times New Roman" w:hAnsiTheme="majorBidi" w:cstheme="majorBidi"/>
          <w:color w:val="000000"/>
        </w:rPr>
        <w:t>в оренду, а саме:</w:t>
      </w:r>
    </w:p>
    <w:p w14:paraId="492C0E46" w14:textId="6AB8F1E3" w:rsidR="00C03213" w:rsidRPr="006A1B4F" w:rsidRDefault="00C03213" w:rsidP="00C03213">
      <w:pPr>
        <w:pStyle w:val="10"/>
        <w:numPr>
          <w:ilvl w:val="0"/>
          <w:numId w:val="2"/>
        </w:numPr>
        <w:pBdr>
          <w:top w:val="nil"/>
          <w:left w:val="nil"/>
          <w:bottom w:val="nil"/>
          <w:right w:val="nil"/>
          <w:between w:val="nil"/>
        </w:pBdr>
        <w:shd w:val="clear" w:color="auto" w:fill="FFFFFF"/>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Встановлення категорій орендарів, які мають право отримання майна в оренду без аукціону на пільгових умовах</w:t>
      </w:r>
      <w:r w:rsidR="00327E98" w:rsidRPr="006A1B4F">
        <w:rPr>
          <w:rFonts w:asciiTheme="majorBidi" w:eastAsia="Times New Roman" w:hAnsiTheme="majorBidi" w:cstheme="majorBidi"/>
          <w:color w:val="000000"/>
        </w:rPr>
        <w:t>;</w:t>
      </w:r>
    </w:p>
    <w:p w14:paraId="1790DA58" w14:textId="1D0191A4" w:rsidR="00327E98" w:rsidRPr="006A1B4F" w:rsidRDefault="00327E98" w:rsidP="00C03213">
      <w:pPr>
        <w:pStyle w:val="10"/>
        <w:numPr>
          <w:ilvl w:val="0"/>
          <w:numId w:val="2"/>
        </w:numPr>
        <w:pBdr>
          <w:top w:val="nil"/>
          <w:left w:val="nil"/>
          <w:bottom w:val="nil"/>
          <w:right w:val="nil"/>
          <w:between w:val="nil"/>
        </w:pBdr>
        <w:shd w:val="clear" w:color="auto" w:fill="FFFFFF"/>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Визначення розміру орендної плати для орендарів, які мають право на продовження договору оренди на пільгових умовах</w:t>
      </w:r>
    </w:p>
    <w:p w14:paraId="24FB5DAD"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Основні групи (підгрупи), на які проблема справляє вплив:</w:t>
      </w:r>
    </w:p>
    <w:tbl>
      <w:tblPr>
        <w:tblStyle w:val="a5"/>
        <w:tblW w:w="9836" w:type="dxa"/>
        <w:jc w:val="center"/>
        <w:tblInd w:w="0" w:type="dxa"/>
        <w:tblLayout w:type="fixed"/>
        <w:tblLook w:val="0000" w:firstRow="0" w:lastRow="0" w:firstColumn="0" w:lastColumn="0" w:noHBand="0" w:noVBand="0"/>
      </w:tblPr>
      <w:tblGrid>
        <w:gridCol w:w="4443"/>
        <w:gridCol w:w="2837"/>
        <w:gridCol w:w="2556"/>
      </w:tblGrid>
      <w:tr w:rsidR="00922602" w:rsidRPr="006A1B4F" w14:paraId="65738F9F" w14:textId="77777777">
        <w:trPr>
          <w:cantSplit/>
          <w:trHeight w:val="422"/>
          <w:tblHeader/>
          <w:jc w:val="center"/>
        </w:trPr>
        <w:tc>
          <w:tcPr>
            <w:tcW w:w="4443" w:type="dxa"/>
            <w:tcBorders>
              <w:top w:val="single" w:sz="4" w:space="0" w:color="000000"/>
              <w:left w:val="single" w:sz="4" w:space="0" w:color="000000"/>
            </w:tcBorders>
            <w:shd w:val="clear" w:color="auto" w:fill="FFFFFF"/>
          </w:tcPr>
          <w:p w14:paraId="5A457430"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highlight w:val="white"/>
              </w:rPr>
              <w:t>Групи (підгрупи)</w:t>
            </w:r>
          </w:p>
        </w:tc>
        <w:tc>
          <w:tcPr>
            <w:tcW w:w="2837" w:type="dxa"/>
            <w:tcBorders>
              <w:top w:val="single" w:sz="4" w:space="0" w:color="000000"/>
              <w:left w:val="single" w:sz="4" w:space="0" w:color="000000"/>
            </w:tcBorders>
            <w:shd w:val="clear" w:color="auto" w:fill="FFFFFF"/>
          </w:tcPr>
          <w:p w14:paraId="35873413"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highlight w:val="white"/>
              </w:rPr>
              <w:t>Так</w:t>
            </w:r>
          </w:p>
        </w:tc>
        <w:tc>
          <w:tcPr>
            <w:tcW w:w="2556" w:type="dxa"/>
            <w:tcBorders>
              <w:top w:val="single" w:sz="4" w:space="0" w:color="000000"/>
              <w:left w:val="single" w:sz="4" w:space="0" w:color="000000"/>
              <w:right w:val="single" w:sz="4" w:space="0" w:color="000000"/>
            </w:tcBorders>
            <w:shd w:val="clear" w:color="auto" w:fill="FFFFFF"/>
          </w:tcPr>
          <w:p w14:paraId="1EE58031"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highlight w:val="white"/>
              </w:rPr>
              <w:t>Ні</w:t>
            </w:r>
          </w:p>
        </w:tc>
      </w:tr>
      <w:tr w:rsidR="00922602" w:rsidRPr="006A1B4F" w14:paraId="3C093262" w14:textId="77777777">
        <w:trPr>
          <w:cantSplit/>
          <w:trHeight w:val="390"/>
          <w:tblHeader/>
          <w:jc w:val="center"/>
        </w:trPr>
        <w:tc>
          <w:tcPr>
            <w:tcW w:w="4443" w:type="dxa"/>
            <w:tcBorders>
              <w:top w:val="single" w:sz="4" w:space="0" w:color="000000"/>
              <w:left w:val="single" w:sz="4" w:space="0" w:color="000000"/>
            </w:tcBorders>
            <w:shd w:val="clear" w:color="auto" w:fill="FFFFFF"/>
          </w:tcPr>
          <w:p w14:paraId="1D59ACF7" w14:textId="77777777" w:rsidR="00922602" w:rsidRPr="006A1B4F" w:rsidRDefault="00312A85"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highlight w:val="white"/>
              </w:rPr>
            </w:pPr>
            <w:r w:rsidRPr="006A1B4F">
              <w:rPr>
                <w:rFonts w:asciiTheme="majorBidi" w:eastAsia="Times New Roman" w:hAnsiTheme="majorBidi" w:cstheme="majorBidi"/>
                <w:bCs/>
                <w:color w:val="000000"/>
                <w:highlight w:val="white"/>
              </w:rPr>
              <w:t>Громадяни</w:t>
            </w:r>
          </w:p>
          <w:p w14:paraId="144D5048" w14:textId="77777777" w:rsidR="00922602" w:rsidRPr="006A1B4F" w:rsidRDefault="00922602"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rPr>
            </w:pPr>
          </w:p>
        </w:tc>
        <w:tc>
          <w:tcPr>
            <w:tcW w:w="2837" w:type="dxa"/>
            <w:tcBorders>
              <w:top w:val="single" w:sz="4" w:space="0" w:color="000000"/>
              <w:left w:val="single" w:sz="4" w:space="0" w:color="000000"/>
            </w:tcBorders>
            <w:shd w:val="clear" w:color="auto" w:fill="FFFFFF"/>
            <w:vAlign w:val="center"/>
          </w:tcPr>
          <w:p w14:paraId="750D97BF"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w:t>
            </w:r>
          </w:p>
        </w:tc>
        <w:tc>
          <w:tcPr>
            <w:tcW w:w="2556" w:type="dxa"/>
            <w:tcBorders>
              <w:top w:val="single" w:sz="4" w:space="0" w:color="000000"/>
              <w:left w:val="single" w:sz="4" w:space="0" w:color="000000"/>
              <w:right w:val="single" w:sz="4" w:space="0" w:color="000000"/>
            </w:tcBorders>
            <w:shd w:val="clear" w:color="auto" w:fill="FFFFFF"/>
          </w:tcPr>
          <w:p w14:paraId="25836011"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w:t>
            </w:r>
          </w:p>
        </w:tc>
      </w:tr>
      <w:tr w:rsidR="00922602" w:rsidRPr="006A1B4F" w14:paraId="2A75762C" w14:textId="77777777">
        <w:trPr>
          <w:cantSplit/>
          <w:trHeight w:val="271"/>
          <w:tblHeader/>
          <w:jc w:val="center"/>
        </w:trPr>
        <w:tc>
          <w:tcPr>
            <w:tcW w:w="4443" w:type="dxa"/>
            <w:tcBorders>
              <w:top w:val="single" w:sz="4" w:space="0" w:color="000000"/>
              <w:left w:val="single" w:sz="4" w:space="0" w:color="000000"/>
            </w:tcBorders>
            <w:shd w:val="clear" w:color="auto" w:fill="FFFFFF"/>
          </w:tcPr>
          <w:p w14:paraId="69ABB430" w14:textId="76DB566C" w:rsidR="000F1239" w:rsidRPr="006A1B4F" w:rsidRDefault="00115950"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highlight w:val="white"/>
              </w:rPr>
            </w:pPr>
            <w:r w:rsidRPr="006A1B4F">
              <w:rPr>
                <w:rFonts w:asciiTheme="majorBidi" w:eastAsia="Times New Roman" w:hAnsiTheme="majorBidi" w:cstheme="majorBidi"/>
                <w:bCs/>
                <w:iCs/>
                <w:color w:val="000000"/>
              </w:rPr>
              <w:t>Органи місцевого самоврядування</w:t>
            </w:r>
          </w:p>
          <w:p w14:paraId="4640A48E" w14:textId="67D97562" w:rsidR="000F1239" w:rsidRPr="006A1B4F" w:rsidRDefault="000F1239"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rPr>
            </w:pPr>
          </w:p>
        </w:tc>
        <w:tc>
          <w:tcPr>
            <w:tcW w:w="2837" w:type="dxa"/>
            <w:tcBorders>
              <w:top w:val="single" w:sz="4" w:space="0" w:color="000000"/>
              <w:left w:val="single" w:sz="4" w:space="0" w:color="000000"/>
            </w:tcBorders>
            <w:shd w:val="clear" w:color="auto" w:fill="FFFFFF"/>
            <w:vAlign w:val="center"/>
          </w:tcPr>
          <w:p w14:paraId="38F5A94A"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highlight w:val="white"/>
              </w:rPr>
              <w:t>+</w:t>
            </w:r>
          </w:p>
        </w:tc>
        <w:tc>
          <w:tcPr>
            <w:tcW w:w="2556" w:type="dxa"/>
            <w:tcBorders>
              <w:top w:val="single" w:sz="4" w:space="0" w:color="000000"/>
              <w:left w:val="single" w:sz="4" w:space="0" w:color="000000"/>
              <w:right w:val="single" w:sz="4" w:space="0" w:color="000000"/>
            </w:tcBorders>
            <w:shd w:val="clear" w:color="auto" w:fill="FFFFFF"/>
          </w:tcPr>
          <w:p w14:paraId="436C3D38"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w:t>
            </w:r>
          </w:p>
        </w:tc>
      </w:tr>
      <w:tr w:rsidR="00922602" w:rsidRPr="006A1B4F" w14:paraId="59C91566" w14:textId="77777777">
        <w:trPr>
          <w:cantSplit/>
          <w:trHeight w:val="862"/>
          <w:tblHeader/>
          <w:jc w:val="center"/>
        </w:trPr>
        <w:tc>
          <w:tcPr>
            <w:tcW w:w="4443" w:type="dxa"/>
            <w:tcBorders>
              <w:top w:val="single" w:sz="4" w:space="0" w:color="000000"/>
              <w:left w:val="single" w:sz="4" w:space="0" w:color="000000"/>
              <w:bottom w:val="single" w:sz="4" w:space="0" w:color="000000"/>
            </w:tcBorders>
            <w:shd w:val="clear" w:color="auto" w:fill="FFFFFF"/>
            <w:vAlign w:val="bottom"/>
          </w:tcPr>
          <w:p w14:paraId="77432DE1" w14:textId="77777777" w:rsidR="00922602" w:rsidRPr="006A1B4F" w:rsidRDefault="00312A85"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highlight w:val="white"/>
              </w:rPr>
            </w:pPr>
            <w:r w:rsidRPr="006A1B4F">
              <w:rPr>
                <w:rFonts w:asciiTheme="majorBidi" w:eastAsia="Times New Roman" w:hAnsiTheme="majorBidi" w:cstheme="majorBidi"/>
                <w:bCs/>
                <w:color w:val="000000"/>
                <w:highlight w:val="white"/>
              </w:rPr>
              <w:t>Суб'єкти господарювання,</w:t>
            </w:r>
          </w:p>
          <w:p w14:paraId="6743FDE8" w14:textId="77777777" w:rsidR="00922602" w:rsidRPr="006A1B4F" w:rsidRDefault="00312A85"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rPr>
            </w:pPr>
            <w:r w:rsidRPr="006A1B4F">
              <w:rPr>
                <w:rFonts w:asciiTheme="majorBidi" w:eastAsia="Times New Roman" w:hAnsiTheme="majorBidi" w:cstheme="majorBidi"/>
                <w:bCs/>
                <w:color w:val="000000"/>
                <w:highlight w:val="white"/>
              </w:rPr>
              <w:t>у тому числі суб'єкти малого</w:t>
            </w:r>
          </w:p>
          <w:p w14:paraId="7C73E903" w14:textId="77777777" w:rsidR="00922602" w:rsidRPr="006A1B4F" w:rsidRDefault="00312A85"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rPr>
            </w:pPr>
            <w:r w:rsidRPr="006A1B4F">
              <w:rPr>
                <w:rFonts w:asciiTheme="majorBidi" w:eastAsia="Times New Roman" w:hAnsiTheme="majorBidi" w:cstheme="majorBidi"/>
                <w:bCs/>
                <w:color w:val="000000"/>
                <w:highlight w:val="white"/>
              </w:rPr>
              <w:t>підприємництва</w:t>
            </w:r>
          </w:p>
          <w:p w14:paraId="3670A026" w14:textId="6EA2F3E7" w:rsidR="000F1239" w:rsidRPr="006A1B4F" w:rsidRDefault="000F1239" w:rsidP="00115950">
            <w:pPr>
              <w:pStyle w:val="10"/>
              <w:pBdr>
                <w:top w:val="nil"/>
                <w:left w:val="nil"/>
                <w:bottom w:val="nil"/>
                <w:right w:val="nil"/>
                <w:between w:val="nil"/>
              </w:pBdr>
              <w:shd w:val="clear" w:color="auto" w:fill="FFFFFF"/>
              <w:jc w:val="center"/>
              <w:rPr>
                <w:rFonts w:asciiTheme="majorBidi" w:eastAsia="Times New Roman" w:hAnsiTheme="majorBidi" w:cstheme="majorBidi"/>
                <w:bCs/>
                <w:color w:val="000000"/>
              </w:rPr>
            </w:pPr>
          </w:p>
        </w:tc>
        <w:tc>
          <w:tcPr>
            <w:tcW w:w="2837" w:type="dxa"/>
            <w:tcBorders>
              <w:top w:val="single" w:sz="4" w:space="0" w:color="000000"/>
              <w:left w:val="single" w:sz="4" w:space="0" w:color="000000"/>
              <w:bottom w:val="single" w:sz="4" w:space="0" w:color="000000"/>
            </w:tcBorders>
            <w:shd w:val="clear" w:color="auto" w:fill="FFFFFF"/>
            <w:vAlign w:val="center"/>
          </w:tcPr>
          <w:p w14:paraId="19BC96BE"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highlight w:val="white"/>
              </w:rPr>
              <w:t>+</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2EFAEB1" w14:textId="77777777" w:rsidR="00922602" w:rsidRPr="006A1B4F" w:rsidRDefault="00922602"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p>
          <w:p w14:paraId="700DBAED" w14:textId="77777777" w:rsidR="00922602" w:rsidRPr="006A1B4F" w:rsidRDefault="00312A85" w:rsidP="000F1239">
            <w:pPr>
              <w:pStyle w:val="10"/>
              <w:pBdr>
                <w:top w:val="nil"/>
                <w:left w:val="nil"/>
                <w:bottom w:val="nil"/>
                <w:right w:val="nil"/>
                <w:between w:val="nil"/>
              </w:pBdr>
              <w:shd w:val="clear" w:color="auto" w:fill="FFFFFF"/>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w:t>
            </w:r>
          </w:p>
        </w:tc>
      </w:tr>
    </w:tbl>
    <w:p w14:paraId="1246DB46" w14:textId="20C6A28E" w:rsidR="00922602" w:rsidRPr="006A1B4F" w:rsidRDefault="00312A85" w:rsidP="001B12B1">
      <w:pPr>
        <w:pStyle w:val="10"/>
        <w:ind w:firstLine="822"/>
        <w:jc w:val="both"/>
        <w:rPr>
          <w:rFonts w:asciiTheme="majorBidi" w:hAnsiTheme="majorBidi" w:cstheme="majorBidi"/>
        </w:rPr>
      </w:pPr>
      <w:r w:rsidRPr="006A1B4F">
        <w:rPr>
          <w:rFonts w:asciiTheme="majorBidi" w:eastAsia="Times New Roman" w:hAnsiTheme="majorBidi" w:cstheme="majorBidi"/>
        </w:rPr>
        <w:t xml:space="preserve">Повноваження щодо затвердження Методики розрахунку орендної плати за майно комунальної власності </w:t>
      </w:r>
      <w:r w:rsidR="000F1239" w:rsidRPr="006A1B4F">
        <w:rPr>
          <w:rFonts w:asciiTheme="majorBidi" w:eastAsia="Times New Roman" w:hAnsiTheme="majorBidi" w:cstheme="majorBidi"/>
          <w:color w:val="000000"/>
        </w:rPr>
        <w:t xml:space="preserve">Авангардівської селищної територіальної громади </w:t>
      </w:r>
      <w:r w:rsidRPr="006A1B4F">
        <w:rPr>
          <w:rFonts w:asciiTheme="majorBidi" w:eastAsia="Times New Roman" w:hAnsiTheme="majorBidi" w:cstheme="majorBidi"/>
        </w:rPr>
        <w:t xml:space="preserve">відповідно до Закону України «Про оренду державного і комунального майна» відносяться виключено до повноважень </w:t>
      </w:r>
      <w:r w:rsidR="000F1239" w:rsidRPr="006A1B4F">
        <w:rPr>
          <w:rFonts w:asciiTheme="majorBidi" w:eastAsia="Times New Roman" w:hAnsiTheme="majorBidi" w:cstheme="majorBidi"/>
        </w:rPr>
        <w:t>Авангардівської селищної ради</w:t>
      </w:r>
      <w:r w:rsidRPr="006A1B4F">
        <w:rPr>
          <w:rFonts w:asciiTheme="majorBidi" w:eastAsia="Times New Roman" w:hAnsiTheme="majorBidi" w:cstheme="majorBidi"/>
        </w:rPr>
        <w:t>, у зв’язку з чим врегулювання зазначених проблемних питань не може бути здійснено за допомогою:</w:t>
      </w:r>
    </w:p>
    <w:p w14:paraId="4356D184" w14:textId="77777777" w:rsidR="00922602" w:rsidRPr="006A1B4F" w:rsidRDefault="00312A85" w:rsidP="001B12B1">
      <w:pPr>
        <w:pStyle w:val="10"/>
        <w:ind w:firstLine="822"/>
        <w:jc w:val="both"/>
        <w:rPr>
          <w:rFonts w:asciiTheme="majorBidi" w:hAnsiTheme="majorBidi" w:cstheme="majorBidi"/>
        </w:rPr>
      </w:pPr>
      <w:r w:rsidRPr="006A1B4F">
        <w:rPr>
          <w:rFonts w:asciiTheme="majorBidi" w:eastAsia="Times New Roman" w:hAnsiTheme="majorBidi" w:cstheme="majorBidi"/>
        </w:rPr>
        <w:t>&gt;</w:t>
      </w:r>
      <w:r w:rsidRPr="006A1B4F">
        <w:rPr>
          <w:rFonts w:asciiTheme="majorBidi" w:eastAsia="Times New Roman" w:hAnsiTheme="majorBidi" w:cstheme="majorBidi"/>
        </w:rPr>
        <w:tab/>
        <w:t>ринкових механізмів, оскільки такі питання регулюються нормативно-правовими актами - рішеннями рад органів місцевого самоврядування;</w:t>
      </w:r>
    </w:p>
    <w:p w14:paraId="74B07A8F" w14:textId="3BCF2E0C" w:rsidR="00922602" w:rsidRPr="006A1B4F" w:rsidRDefault="00312A85"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&gt;</w:t>
      </w:r>
      <w:r w:rsidRPr="006A1B4F">
        <w:rPr>
          <w:rFonts w:asciiTheme="majorBidi" w:eastAsia="Times New Roman" w:hAnsiTheme="majorBidi" w:cstheme="majorBidi"/>
          <w:color w:val="000000"/>
        </w:rPr>
        <w:tab/>
        <w:t xml:space="preserve">проблема не може бути розв’язана за допомогою діючих регуляторних актів у зв’язку з прийняттям </w:t>
      </w:r>
      <w:r w:rsidR="00115950" w:rsidRPr="006A1B4F">
        <w:rPr>
          <w:rFonts w:asciiTheme="majorBidi" w:eastAsia="Times New Roman" w:hAnsiTheme="majorBidi" w:cstheme="majorBidi"/>
          <w:color w:val="000000"/>
        </w:rPr>
        <w:t xml:space="preserve"> оскільки вони не відповідають чинному законодавству України в щодо оренди державного та комунального майна, в тому числі Положення про оренду майна комунальної власності Авангардівської селищної ради, що затверджене рішення Авангардівської селищної ради № 1571-VII від 13.08.2020 р.</w:t>
      </w:r>
    </w:p>
    <w:p w14:paraId="315AB656" w14:textId="77777777" w:rsidR="00922602" w:rsidRPr="006A1B4F" w:rsidRDefault="00922602"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p>
    <w:p w14:paraId="0011DAC9" w14:textId="77777777" w:rsidR="00922602" w:rsidRPr="006A1B4F" w:rsidRDefault="00312A85" w:rsidP="001B12B1">
      <w:pPr>
        <w:pStyle w:val="10"/>
        <w:keepNext/>
        <w:keepLines/>
        <w:pBdr>
          <w:top w:val="nil"/>
          <w:left w:val="nil"/>
          <w:bottom w:val="nil"/>
          <w:right w:val="nil"/>
          <w:between w:val="nil"/>
        </w:pBdr>
        <w:tabs>
          <w:tab w:val="left" w:pos="3251"/>
        </w:tabs>
        <w:jc w:val="center"/>
        <w:rPr>
          <w:rFonts w:asciiTheme="majorBidi" w:eastAsia="Times New Roman" w:hAnsiTheme="majorBidi" w:cstheme="majorBidi"/>
          <w:b/>
          <w:color w:val="000000"/>
        </w:rPr>
      </w:pPr>
      <w:bookmarkStart w:id="4" w:name="3znysh7" w:colFirst="0" w:colLast="0"/>
      <w:bookmarkEnd w:id="4"/>
      <w:r w:rsidRPr="006A1B4F">
        <w:rPr>
          <w:rFonts w:asciiTheme="majorBidi" w:eastAsia="Times New Roman" w:hAnsiTheme="majorBidi" w:cstheme="majorBidi"/>
          <w:b/>
          <w:color w:val="000000"/>
        </w:rPr>
        <w:t>ІІ. Цілі регулювання</w:t>
      </w:r>
    </w:p>
    <w:p w14:paraId="372969CD" w14:textId="64789012" w:rsidR="00922602" w:rsidRPr="006A1B4F" w:rsidRDefault="00312A85" w:rsidP="001B12B1">
      <w:pPr>
        <w:pStyle w:val="10"/>
        <w:pBdr>
          <w:top w:val="nil"/>
          <w:left w:val="nil"/>
          <w:bottom w:val="nil"/>
          <w:right w:val="nil"/>
          <w:between w:val="nil"/>
        </w:pBdr>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Цілями регулювання є забезпечення виконання вимог Закону України «Про оренду державного і комунального майна», підвищення ефективності використання майна комунальної власності територіальної громади, створення єдиних правил для учасників орендних відносин (орендаря та орендодавця), чітких механізмів розрахунку орендної плати (річної, місячної, добової, погодинної)</w:t>
      </w:r>
      <w:r w:rsidR="00046B77" w:rsidRPr="006A1B4F">
        <w:rPr>
          <w:rFonts w:asciiTheme="majorBidi" w:eastAsia="Times New Roman" w:hAnsiTheme="majorBidi" w:cstheme="majorBidi"/>
          <w:color w:val="000000"/>
        </w:rPr>
        <w:t xml:space="preserve"> та індексу інфляції для раціонального використання бюджетних коштів</w:t>
      </w:r>
      <w:r w:rsidRPr="006A1B4F">
        <w:rPr>
          <w:rFonts w:asciiTheme="majorBidi" w:eastAsia="Times New Roman" w:hAnsiTheme="majorBidi" w:cstheme="majorBidi"/>
          <w:color w:val="000000"/>
        </w:rPr>
        <w:t xml:space="preserve"> </w:t>
      </w:r>
      <w:r w:rsidR="000F1239" w:rsidRPr="006A1B4F">
        <w:rPr>
          <w:rFonts w:asciiTheme="majorBidi" w:eastAsia="Times New Roman" w:hAnsiTheme="majorBidi" w:cstheme="majorBidi"/>
          <w:color w:val="000000"/>
        </w:rPr>
        <w:t>Авангардівської селищної територіальної громади</w:t>
      </w:r>
      <w:r w:rsidR="00A35D25" w:rsidRPr="006A1B4F">
        <w:rPr>
          <w:rFonts w:asciiTheme="majorBidi" w:eastAsia="Times New Roman" w:hAnsiTheme="majorBidi" w:cstheme="majorBidi"/>
          <w:color w:val="000000"/>
        </w:rPr>
        <w:t>, встановлення пільг для окремих категорій орендарів</w:t>
      </w:r>
      <w:r w:rsidRPr="006A1B4F">
        <w:rPr>
          <w:rFonts w:asciiTheme="majorBidi" w:eastAsia="Times New Roman" w:hAnsiTheme="majorBidi" w:cstheme="majorBidi"/>
          <w:color w:val="000000"/>
        </w:rPr>
        <w:t>.</w:t>
      </w:r>
    </w:p>
    <w:p w14:paraId="4ACCB7D6" w14:textId="77777777" w:rsidR="00922602" w:rsidRPr="006A1B4F" w:rsidRDefault="00922602" w:rsidP="001B12B1">
      <w:pPr>
        <w:pStyle w:val="10"/>
        <w:pBdr>
          <w:top w:val="nil"/>
          <w:left w:val="nil"/>
          <w:bottom w:val="nil"/>
          <w:right w:val="nil"/>
          <w:between w:val="nil"/>
        </w:pBdr>
        <w:ind w:firstLine="820"/>
        <w:jc w:val="both"/>
        <w:rPr>
          <w:rFonts w:asciiTheme="majorBidi" w:eastAsia="Times New Roman" w:hAnsiTheme="majorBidi" w:cstheme="majorBidi"/>
          <w:color w:val="000000"/>
        </w:rPr>
      </w:pPr>
    </w:p>
    <w:p w14:paraId="2AB568D5" w14:textId="77777777" w:rsidR="00922602" w:rsidRPr="006A1B4F" w:rsidRDefault="00312A85" w:rsidP="001B12B1">
      <w:pPr>
        <w:pStyle w:val="10"/>
        <w:keepNext/>
        <w:keepLines/>
        <w:pBdr>
          <w:top w:val="nil"/>
          <w:left w:val="nil"/>
          <w:bottom w:val="nil"/>
          <w:right w:val="nil"/>
          <w:between w:val="nil"/>
        </w:pBdr>
        <w:tabs>
          <w:tab w:val="left" w:pos="1072"/>
        </w:tabs>
        <w:jc w:val="center"/>
        <w:rPr>
          <w:rFonts w:asciiTheme="majorBidi" w:eastAsia="Times New Roman" w:hAnsiTheme="majorBidi" w:cstheme="majorBidi"/>
          <w:b/>
          <w:color w:val="000000"/>
        </w:rPr>
      </w:pPr>
      <w:bookmarkStart w:id="5" w:name="2et92p0" w:colFirst="0" w:colLast="0"/>
      <w:bookmarkEnd w:id="5"/>
      <w:r w:rsidRPr="006A1B4F">
        <w:rPr>
          <w:rFonts w:asciiTheme="majorBidi" w:eastAsia="Times New Roman" w:hAnsiTheme="majorBidi" w:cstheme="majorBidi"/>
          <w:b/>
          <w:color w:val="000000"/>
        </w:rPr>
        <w:t>ІІІ. Визначення та оцінка альтернативних способів досягнення встановлених цілей</w:t>
      </w:r>
    </w:p>
    <w:p w14:paraId="0C836FED" w14:textId="77777777" w:rsidR="00922602" w:rsidRPr="006A1B4F" w:rsidRDefault="00922602" w:rsidP="001B12B1">
      <w:pPr>
        <w:pStyle w:val="10"/>
        <w:pBdr>
          <w:top w:val="nil"/>
          <w:left w:val="nil"/>
          <w:bottom w:val="nil"/>
          <w:right w:val="nil"/>
          <w:between w:val="nil"/>
        </w:pBdr>
        <w:ind w:firstLine="820"/>
        <w:jc w:val="both"/>
        <w:rPr>
          <w:rFonts w:asciiTheme="majorBidi" w:eastAsia="Times New Roman" w:hAnsiTheme="majorBidi" w:cstheme="majorBidi"/>
          <w:b/>
          <w:color w:val="000000"/>
        </w:rPr>
      </w:pPr>
    </w:p>
    <w:p w14:paraId="29698195" w14:textId="60A134D4" w:rsidR="00922602" w:rsidRPr="006A1B4F" w:rsidRDefault="00312A85" w:rsidP="000F1239">
      <w:pPr>
        <w:pStyle w:val="10"/>
        <w:pBdr>
          <w:top w:val="nil"/>
          <w:left w:val="nil"/>
          <w:bottom w:val="nil"/>
          <w:right w:val="nil"/>
          <w:between w:val="nil"/>
        </w:pBdr>
        <w:ind w:firstLine="709"/>
        <w:jc w:val="both"/>
        <w:rPr>
          <w:rFonts w:asciiTheme="majorBidi" w:eastAsia="Times New Roman" w:hAnsiTheme="majorBidi" w:cstheme="majorBidi"/>
          <w:b/>
          <w:bCs/>
          <w:i/>
          <w:iCs/>
          <w:color w:val="000000"/>
        </w:rPr>
      </w:pPr>
      <w:r w:rsidRPr="006A1B4F">
        <w:rPr>
          <w:rFonts w:asciiTheme="majorBidi" w:eastAsia="Times New Roman" w:hAnsiTheme="majorBidi" w:cstheme="majorBidi"/>
          <w:b/>
          <w:bCs/>
          <w:i/>
          <w:iCs/>
          <w:color w:val="000000"/>
        </w:rPr>
        <w:t>1. Альтернативи визначено з огляду на вимоги Закону України «Про оренду державного і комунального майна»</w:t>
      </w:r>
      <w:r w:rsidR="000F1239" w:rsidRPr="006A1B4F">
        <w:rPr>
          <w:rFonts w:asciiTheme="majorBidi" w:eastAsia="Times New Roman" w:hAnsiTheme="majorBidi" w:cstheme="majorBidi"/>
          <w:b/>
          <w:bCs/>
          <w:i/>
          <w:iCs/>
          <w:color w:val="000000"/>
        </w:rPr>
        <w:t>.</w:t>
      </w:r>
    </w:p>
    <w:p w14:paraId="2374972A" w14:textId="77777777" w:rsidR="000F1239" w:rsidRPr="006A1B4F" w:rsidRDefault="000F1239" w:rsidP="000F1239">
      <w:pPr>
        <w:pStyle w:val="10"/>
        <w:pBdr>
          <w:top w:val="nil"/>
          <w:left w:val="nil"/>
          <w:bottom w:val="nil"/>
          <w:right w:val="nil"/>
          <w:between w:val="nil"/>
        </w:pBdr>
        <w:ind w:firstLine="709"/>
        <w:jc w:val="both"/>
        <w:rPr>
          <w:rFonts w:asciiTheme="majorBidi" w:eastAsia="Times New Roman" w:hAnsiTheme="majorBidi" w:cstheme="majorBidi"/>
          <w:b/>
          <w:bCs/>
          <w:i/>
          <w:iCs/>
          <w:color w:val="000000"/>
        </w:rPr>
      </w:pPr>
    </w:p>
    <w:tbl>
      <w:tblPr>
        <w:tblStyle w:val="a6"/>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930"/>
      </w:tblGrid>
      <w:tr w:rsidR="00922602" w:rsidRPr="006A1B4F" w14:paraId="28E33024" w14:textId="77777777" w:rsidTr="000F1239">
        <w:trPr>
          <w:cantSplit/>
          <w:tblHeader/>
        </w:trPr>
        <w:tc>
          <w:tcPr>
            <w:tcW w:w="4706" w:type="dxa"/>
          </w:tcPr>
          <w:p w14:paraId="4F9D0A98" w14:textId="7777777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b/>
                <w:color w:val="000000"/>
              </w:rPr>
              <w:t>Вид альтернативи</w:t>
            </w:r>
          </w:p>
        </w:tc>
        <w:tc>
          <w:tcPr>
            <w:tcW w:w="4930" w:type="dxa"/>
          </w:tcPr>
          <w:p w14:paraId="56AC3E69" w14:textId="7777777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b/>
                <w:color w:val="000000"/>
              </w:rPr>
              <w:t>Опис альтернативи</w:t>
            </w:r>
          </w:p>
        </w:tc>
      </w:tr>
      <w:tr w:rsidR="00922602" w:rsidRPr="006A1B4F" w14:paraId="5F776D7A" w14:textId="77777777" w:rsidTr="000F1239">
        <w:trPr>
          <w:cantSplit/>
          <w:tblHeader/>
        </w:trPr>
        <w:tc>
          <w:tcPr>
            <w:tcW w:w="4706" w:type="dxa"/>
          </w:tcPr>
          <w:p w14:paraId="17EE7481" w14:textId="77777777" w:rsidR="00376EEC" w:rsidRPr="006A1B4F" w:rsidRDefault="00312A85" w:rsidP="00376EEC">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1:</w:t>
            </w:r>
            <w:r w:rsidR="00376EEC" w:rsidRPr="006A1B4F">
              <w:rPr>
                <w:rFonts w:asciiTheme="majorBidi" w:eastAsia="Times New Roman" w:hAnsiTheme="majorBidi" w:cstheme="majorBidi"/>
                <w:color w:val="000000"/>
              </w:rPr>
              <w:t xml:space="preserve"> </w:t>
            </w:r>
            <w:r w:rsidR="00376EEC" w:rsidRPr="006A1B4F">
              <w:rPr>
                <w:rFonts w:asciiTheme="majorBidi" w:eastAsia="Times New Roman" w:hAnsiTheme="majorBidi" w:cstheme="majorBidi"/>
                <w:color w:val="000000"/>
              </w:rPr>
              <w:t>Застосування Методики розрахунку орендної плати за державне майно, затвердженої Постановою Кабінету Міністрів України від 28 квітня 2021 року № 630.</w:t>
            </w:r>
          </w:p>
          <w:p w14:paraId="2EBAA16E" w14:textId="31F83854" w:rsidR="00922602" w:rsidRPr="006A1B4F" w:rsidRDefault="00922602" w:rsidP="001B12B1">
            <w:pPr>
              <w:pStyle w:val="10"/>
              <w:pBdr>
                <w:top w:val="nil"/>
                <w:left w:val="nil"/>
                <w:bottom w:val="nil"/>
                <w:right w:val="nil"/>
                <w:between w:val="nil"/>
              </w:pBdr>
              <w:jc w:val="both"/>
              <w:rPr>
                <w:rFonts w:asciiTheme="majorBidi" w:eastAsia="Times New Roman" w:hAnsiTheme="majorBidi" w:cstheme="majorBidi"/>
                <w:color w:val="000000"/>
              </w:rPr>
            </w:pPr>
          </w:p>
          <w:p w14:paraId="48CFD652" w14:textId="77777777" w:rsidR="00922602" w:rsidRPr="006A1B4F" w:rsidRDefault="00922602" w:rsidP="001B12B1">
            <w:pPr>
              <w:pStyle w:val="10"/>
              <w:pBdr>
                <w:top w:val="nil"/>
                <w:left w:val="nil"/>
                <w:bottom w:val="nil"/>
                <w:right w:val="nil"/>
                <w:between w:val="nil"/>
              </w:pBdr>
              <w:jc w:val="both"/>
              <w:rPr>
                <w:rFonts w:asciiTheme="majorBidi" w:eastAsia="Times New Roman" w:hAnsiTheme="majorBidi" w:cstheme="majorBidi"/>
                <w:color w:val="000000"/>
              </w:rPr>
            </w:pPr>
          </w:p>
        </w:tc>
        <w:tc>
          <w:tcPr>
            <w:tcW w:w="4930" w:type="dxa"/>
          </w:tcPr>
          <w:p w14:paraId="7682D9B0" w14:textId="14B859CD"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Положення вказаної Методики охоплюють відносини розрахунку орендної плати як за державне, так і за комунальне майно, однак, не враховують інтереси органів місцевого самоврядування</w:t>
            </w:r>
            <w:r w:rsidR="00376EEC" w:rsidRPr="006A1B4F">
              <w:rPr>
                <w:rFonts w:asciiTheme="majorBidi" w:eastAsia="Times New Roman" w:hAnsiTheme="majorBidi" w:cstheme="majorBidi"/>
                <w:color w:val="000000"/>
              </w:rPr>
              <w:t>, що тягне за собою не раціональне використання бюджетних коштів.</w:t>
            </w:r>
          </w:p>
          <w:p w14:paraId="14E63B23" w14:textId="7777777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є недоцільною.</w:t>
            </w:r>
          </w:p>
        </w:tc>
      </w:tr>
      <w:tr w:rsidR="00922602" w:rsidRPr="006A1B4F" w14:paraId="61364F3B" w14:textId="77777777" w:rsidTr="000F1239">
        <w:trPr>
          <w:cantSplit/>
          <w:tblHeader/>
        </w:trPr>
        <w:tc>
          <w:tcPr>
            <w:tcW w:w="4706" w:type="dxa"/>
          </w:tcPr>
          <w:p w14:paraId="03AFD144" w14:textId="0432B48E"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2:</w:t>
            </w:r>
            <w:r w:rsidR="00376EEC" w:rsidRPr="006A1B4F">
              <w:rPr>
                <w:rFonts w:asciiTheme="majorBidi" w:eastAsia="Times New Roman" w:hAnsiTheme="majorBidi" w:cstheme="majorBidi"/>
                <w:color w:val="000000"/>
              </w:rPr>
              <w:t xml:space="preserve"> Прийняття </w:t>
            </w:r>
            <w:r w:rsidR="00376EEC" w:rsidRPr="006A1B4F">
              <w:rPr>
                <w:rFonts w:asciiTheme="majorBidi" w:eastAsia="Times New Roman" w:hAnsiTheme="majorBidi" w:cstheme="majorBidi"/>
                <w:color w:val="000000"/>
              </w:rPr>
              <w:t>Методики розрахунку орендної плати за майно комунальної власності Авангардівської селищної територіальної громади</w:t>
            </w:r>
            <w:r w:rsidR="00376EEC" w:rsidRPr="006A1B4F">
              <w:rPr>
                <w:rFonts w:asciiTheme="majorBidi" w:eastAsia="Times New Roman" w:hAnsiTheme="majorBidi" w:cstheme="majorBidi"/>
                <w:color w:val="000000"/>
              </w:rPr>
              <w:t>, з урахуванням всіх потреб</w:t>
            </w:r>
          </w:p>
          <w:p w14:paraId="0AFBDF6B" w14:textId="77777777" w:rsidR="00922602" w:rsidRPr="006A1B4F" w:rsidRDefault="00922602" w:rsidP="001B12B1">
            <w:pPr>
              <w:pStyle w:val="10"/>
              <w:pBdr>
                <w:top w:val="nil"/>
                <w:left w:val="nil"/>
                <w:bottom w:val="nil"/>
                <w:right w:val="nil"/>
                <w:between w:val="nil"/>
              </w:pBdr>
              <w:jc w:val="both"/>
              <w:rPr>
                <w:rFonts w:asciiTheme="majorBidi" w:eastAsia="Times New Roman" w:hAnsiTheme="majorBidi" w:cstheme="majorBidi"/>
                <w:color w:val="000000"/>
              </w:rPr>
            </w:pPr>
          </w:p>
        </w:tc>
        <w:tc>
          <w:tcPr>
            <w:tcW w:w="4930" w:type="dxa"/>
          </w:tcPr>
          <w:p w14:paraId="7BB6CACF" w14:textId="6346E45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Прийняття представницьким органом місцевого самоврядування відповідно до частини 2 статті 17 Закону України «Про оренду державного та комунального майна» від 03 жовтня 2019 року № 157-ІХ «Про оренду державного та комунального майна» нового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(Методики розрахунку орендної плати за майно комунальної власності </w:t>
            </w:r>
            <w:r w:rsidR="000F1239" w:rsidRPr="006A1B4F">
              <w:rPr>
                <w:rFonts w:asciiTheme="majorBidi" w:eastAsia="Times New Roman" w:hAnsiTheme="majorBidi" w:cstheme="majorBidi"/>
                <w:color w:val="000000"/>
              </w:rPr>
              <w:t>Авангардівської селищної територіальної громади</w:t>
            </w:r>
            <w:r w:rsidRPr="006A1B4F">
              <w:rPr>
                <w:rFonts w:asciiTheme="majorBidi" w:eastAsia="Times New Roman" w:hAnsiTheme="majorBidi" w:cstheme="majorBidi"/>
                <w:color w:val="000000"/>
              </w:rPr>
              <w:t>, розробленої на підставі Методики розрахунку орендної плати за державне майно, затвердженої Постановою Кабінету Міністрів України від 28 квітня 2021 року № 630).</w:t>
            </w:r>
          </w:p>
          <w:p w14:paraId="2E8F5738" w14:textId="7777777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Відповідність вимогам Закону України «Про оренду державного та комунального майна» </w:t>
            </w:r>
            <w:r w:rsidR="00B75274"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від 03 жовтня 2019 року № 157-ІХ «Про оренду державного та комунального майна».</w:t>
            </w:r>
          </w:p>
          <w:p w14:paraId="4C11C819" w14:textId="77777777" w:rsidR="00922602" w:rsidRPr="006A1B4F" w:rsidRDefault="00312A85" w:rsidP="001B12B1">
            <w:pPr>
              <w:pStyle w:val="10"/>
              <w:pBdr>
                <w:top w:val="nil"/>
                <w:left w:val="nil"/>
                <w:bottom w:val="nil"/>
                <w:right w:val="nil"/>
                <w:between w:val="nil"/>
              </w:pBdr>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Найбільш доцільна альтернатива.</w:t>
            </w:r>
          </w:p>
        </w:tc>
      </w:tr>
    </w:tbl>
    <w:p w14:paraId="4B0EB2D4" w14:textId="77777777" w:rsidR="000F1239" w:rsidRPr="006A1B4F" w:rsidRDefault="000F1239" w:rsidP="000F1239">
      <w:pPr>
        <w:pStyle w:val="10"/>
        <w:pBdr>
          <w:top w:val="nil"/>
          <w:left w:val="nil"/>
          <w:bottom w:val="nil"/>
          <w:right w:val="nil"/>
          <w:between w:val="nil"/>
        </w:pBdr>
        <w:tabs>
          <w:tab w:val="left" w:pos="0"/>
        </w:tabs>
        <w:rPr>
          <w:rFonts w:asciiTheme="majorBidi" w:eastAsia="Times New Roman" w:hAnsiTheme="majorBidi" w:cstheme="majorBidi"/>
          <w:b/>
          <w:bCs/>
          <w:i/>
          <w:iCs/>
          <w:color w:val="000000"/>
        </w:rPr>
      </w:pPr>
    </w:p>
    <w:p w14:paraId="09F8C34A" w14:textId="7AFA63E8" w:rsidR="00922602" w:rsidRPr="006A1B4F" w:rsidRDefault="000F1239" w:rsidP="000F1239">
      <w:pPr>
        <w:pStyle w:val="10"/>
        <w:pBdr>
          <w:top w:val="nil"/>
          <w:left w:val="nil"/>
          <w:bottom w:val="nil"/>
          <w:right w:val="nil"/>
          <w:between w:val="nil"/>
        </w:pBdr>
        <w:tabs>
          <w:tab w:val="left" w:pos="0"/>
        </w:tabs>
        <w:ind w:firstLine="709"/>
        <w:rPr>
          <w:rFonts w:asciiTheme="majorBidi" w:eastAsia="Times New Roman" w:hAnsiTheme="majorBidi" w:cstheme="majorBidi"/>
          <w:b/>
          <w:bCs/>
          <w:i/>
          <w:iCs/>
          <w:color w:val="000000"/>
        </w:rPr>
      </w:pPr>
      <w:r w:rsidRPr="006A1B4F">
        <w:rPr>
          <w:rFonts w:asciiTheme="majorBidi" w:eastAsia="Times New Roman" w:hAnsiTheme="majorBidi" w:cstheme="majorBidi"/>
          <w:b/>
          <w:bCs/>
          <w:i/>
          <w:iCs/>
          <w:color w:val="000000"/>
        </w:rPr>
        <w:t xml:space="preserve">2. </w:t>
      </w:r>
      <w:r w:rsidR="00312A85" w:rsidRPr="006A1B4F">
        <w:rPr>
          <w:rFonts w:asciiTheme="majorBidi" w:eastAsia="Times New Roman" w:hAnsiTheme="majorBidi" w:cstheme="majorBidi"/>
          <w:b/>
          <w:bCs/>
          <w:i/>
          <w:iCs/>
          <w:color w:val="000000"/>
        </w:rPr>
        <w:t>Оцінка вибраних альтернативних способів досягнення цілей</w:t>
      </w:r>
      <w:r w:rsidR="00312A85" w:rsidRPr="006A1B4F">
        <w:rPr>
          <w:rFonts w:asciiTheme="majorBidi" w:eastAsia="Times New Roman" w:hAnsiTheme="majorBidi" w:cstheme="majorBidi"/>
          <w:color w:val="000000"/>
        </w:rPr>
        <w:t>.</w:t>
      </w:r>
      <w:r w:rsidRPr="006A1B4F">
        <w:rPr>
          <w:rFonts w:asciiTheme="majorBidi" w:eastAsia="Times New Roman" w:hAnsiTheme="majorBidi" w:cstheme="majorBidi"/>
          <w:color w:val="000000"/>
        </w:rPr>
        <w:t xml:space="preserve"> </w:t>
      </w:r>
      <w:r w:rsidR="00312A85" w:rsidRPr="006A1B4F">
        <w:rPr>
          <w:rFonts w:asciiTheme="majorBidi" w:eastAsia="Times New Roman" w:hAnsiTheme="majorBidi" w:cstheme="majorBidi"/>
          <w:b/>
          <w:bCs/>
          <w:i/>
          <w:iCs/>
          <w:color w:val="000000"/>
        </w:rPr>
        <w:t>Оцінка впливу на сферу інтересів органу місцевого самоврядування</w:t>
      </w:r>
      <w:r w:rsidRPr="006A1B4F">
        <w:rPr>
          <w:rFonts w:asciiTheme="majorBidi" w:eastAsia="Times New Roman" w:hAnsiTheme="majorBidi" w:cstheme="majorBidi"/>
          <w:b/>
          <w:bCs/>
          <w:i/>
          <w:iCs/>
          <w:color w:val="000000"/>
        </w:rPr>
        <w:t>.</w:t>
      </w:r>
    </w:p>
    <w:p w14:paraId="72D7C825" w14:textId="77777777" w:rsidR="000F1239" w:rsidRPr="006A1B4F" w:rsidRDefault="000F1239" w:rsidP="000F1239">
      <w:pPr>
        <w:pStyle w:val="10"/>
        <w:pBdr>
          <w:top w:val="nil"/>
          <w:left w:val="nil"/>
          <w:bottom w:val="nil"/>
          <w:right w:val="nil"/>
          <w:between w:val="nil"/>
        </w:pBdr>
        <w:tabs>
          <w:tab w:val="left" w:pos="0"/>
        </w:tabs>
        <w:ind w:firstLine="709"/>
        <w:rPr>
          <w:rFonts w:asciiTheme="majorBidi" w:eastAsia="Times New Roman" w:hAnsiTheme="majorBidi" w:cstheme="majorBidi"/>
          <w:color w:val="000000"/>
        </w:rPr>
      </w:pPr>
    </w:p>
    <w:tbl>
      <w:tblPr>
        <w:tblStyle w:val="a7"/>
        <w:tblW w:w="9806" w:type="dxa"/>
        <w:tblInd w:w="0" w:type="dxa"/>
        <w:tblLayout w:type="fixed"/>
        <w:tblLook w:val="0000" w:firstRow="0" w:lastRow="0" w:firstColumn="0" w:lastColumn="0" w:noHBand="0" w:noVBand="0"/>
      </w:tblPr>
      <w:tblGrid>
        <w:gridCol w:w="2001"/>
        <w:gridCol w:w="4124"/>
        <w:gridCol w:w="3681"/>
      </w:tblGrid>
      <w:tr w:rsidR="00922602" w:rsidRPr="006A1B4F" w14:paraId="279606EB" w14:textId="77777777">
        <w:trPr>
          <w:cantSplit/>
          <w:trHeight w:val="577"/>
          <w:tblHeader/>
        </w:trPr>
        <w:tc>
          <w:tcPr>
            <w:tcW w:w="2001" w:type="dxa"/>
            <w:tcBorders>
              <w:top w:val="single" w:sz="4" w:space="0" w:color="000000"/>
              <w:left w:val="single" w:sz="4" w:space="0" w:color="000000"/>
            </w:tcBorders>
            <w:shd w:val="clear" w:color="auto" w:fill="FFFFFF"/>
            <w:vAlign w:val="bottom"/>
          </w:tcPr>
          <w:p w14:paraId="2768B6F1"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lastRenderedPageBreak/>
              <w:t>Вид</w:t>
            </w:r>
          </w:p>
          <w:p w14:paraId="773EF2D8"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альтернативи</w:t>
            </w:r>
          </w:p>
        </w:tc>
        <w:tc>
          <w:tcPr>
            <w:tcW w:w="4124" w:type="dxa"/>
            <w:tcBorders>
              <w:top w:val="single" w:sz="4" w:space="0" w:color="000000"/>
              <w:left w:val="single" w:sz="4" w:space="0" w:color="000000"/>
            </w:tcBorders>
            <w:shd w:val="clear" w:color="auto" w:fill="FFFFFF"/>
          </w:tcPr>
          <w:p w14:paraId="44F74A9F" w14:textId="77777777" w:rsidR="00922602" w:rsidRPr="006A1B4F" w:rsidRDefault="00922602" w:rsidP="001B12B1">
            <w:pPr>
              <w:pStyle w:val="10"/>
              <w:pBdr>
                <w:top w:val="nil"/>
                <w:left w:val="nil"/>
                <w:bottom w:val="nil"/>
                <w:right w:val="nil"/>
                <w:between w:val="nil"/>
              </w:pBdr>
              <w:jc w:val="center"/>
              <w:rPr>
                <w:rFonts w:asciiTheme="majorBidi" w:eastAsia="Times New Roman" w:hAnsiTheme="majorBidi" w:cstheme="majorBidi"/>
                <w:b/>
                <w:color w:val="000000"/>
              </w:rPr>
            </w:pPr>
          </w:p>
          <w:p w14:paraId="5DF67CDE"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Вигоди</w:t>
            </w:r>
          </w:p>
        </w:tc>
        <w:tc>
          <w:tcPr>
            <w:tcW w:w="3681" w:type="dxa"/>
            <w:tcBorders>
              <w:top w:val="single" w:sz="4" w:space="0" w:color="000000"/>
              <w:left w:val="single" w:sz="4" w:space="0" w:color="000000"/>
              <w:right w:val="single" w:sz="4" w:space="0" w:color="000000"/>
            </w:tcBorders>
            <w:shd w:val="clear" w:color="auto" w:fill="FFFFFF"/>
          </w:tcPr>
          <w:p w14:paraId="542138F3" w14:textId="77777777" w:rsidR="00922602" w:rsidRPr="006A1B4F" w:rsidRDefault="00922602" w:rsidP="001B12B1">
            <w:pPr>
              <w:pStyle w:val="10"/>
              <w:pBdr>
                <w:top w:val="nil"/>
                <w:left w:val="nil"/>
                <w:bottom w:val="nil"/>
                <w:right w:val="nil"/>
                <w:between w:val="nil"/>
              </w:pBdr>
              <w:jc w:val="center"/>
              <w:rPr>
                <w:rFonts w:asciiTheme="majorBidi" w:eastAsia="Times New Roman" w:hAnsiTheme="majorBidi" w:cstheme="majorBidi"/>
                <w:b/>
                <w:color w:val="000000"/>
              </w:rPr>
            </w:pPr>
          </w:p>
          <w:p w14:paraId="19929620"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Витрати</w:t>
            </w:r>
          </w:p>
        </w:tc>
      </w:tr>
      <w:tr w:rsidR="00922602" w:rsidRPr="006A1B4F" w14:paraId="032150AA" w14:textId="77777777">
        <w:trPr>
          <w:cantSplit/>
          <w:trHeight w:val="3543"/>
          <w:tblHeader/>
        </w:trPr>
        <w:tc>
          <w:tcPr>
            <w:tcW w:w="2001" w:type="dxa"/>
            <w:tcBorders>
              <w:top w:val="single" w:sz="4" w:space="0" w:color="000000"/>
              <w:left w:val="single" w:sz="4" w:space="0" w:color="000000"/>
              <w:bottom w:val="single" w:sz="4" w:space="0" w:color="000000"/>
            </w:tcBorders>
            <w:shd w:val="clear" w:color="auto" w:fill="FFFFFF"/>
          </w:tcPr>
          <w:p w14:paraId="41942F2D" w14:textId="77777777" w:rsidR="00922602" w:rsidRPr="006A1B4F" w:rsidRDefault="00312A85" w:rsidP="001B12B1">
            <w:pPr>
              <w:pStyle w:val="10"/>
              <w:pBdr>
                <w:top w:val="nil"/>
                <w:left w:val="nil"/>
                <w:bottom w:val="nil"/>
                <w:right w:val="nil"/>
                <w:between w:val="nil"/>
              </w:pBdr>
              <w:ind w:left="142"/>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1:</w:t>
            </w:r>
          </w:p>
          <w:p w14:paraId="6CE2A7F6" w14:textId="77777777" w:rsidR="00922602" w:rsidRPr="006A1B4F" w:rsidRDefault="00922602" w:rsidP="001B12B1">
            <w:pPr>
              <w:pStyle w:val="10"/>
              <w:pBdr>
                <w:top w:val="nil"/>
                <w:left w:val="nil"/>
                <w:bottom w:val="nil"/>
                <w:right w:val="nil"/>
                <w:between w:val="nil"/>
              </w:pBdr>
              <w:ind w:left="142"/>
              <w:rPr>
                <w:rFonts w:asciiTheme="majorBidi" w:eastAsia="Times New Roman" w:hAnsiTheme="majorBidi" w:cstheme="majorBidi"/>
                <w:color w:val="000000"/>
              </w:rPr>
            </w:pPr>
          </w:p>
        </w:tc>
        <w:tc>
          <w:tcPr>
            <w:tcW w:w="4124" w:type="dxa"/>
            <w:tcBorders>
              <w:top w:val="single" w:sz="4" w:space="0" w:color="000000"/>
              <w:left w:val="single" w:sz="4" w:space="0" w:color="000000"/>
              <w:bottom w:val="single" w:sz="4" w:space="0" w:color="000000"/>
            </w:tcBorders>
            <w:shd w:val="clear" w:color="auto" w:fill="FFFFFF"/>
          </w:tcPr>
          <w:p w14:paraId="4E5287AB" w14:textId="77777777" w:rsidR="00922602" w:rsidRPr="006A1B4F" w:rsidRDefault="00312A85" w:rsidP="001B12B1">
            <w:pPr>
              <w:pStyle w:val="10"/>
              <w:pBdr>
                <w:top w:val="nil"/>
                <w:left w:val="nil"/>
                <w:bottom w:val="nil"/>
                <w:right w:val="nil"/>
                <w:between w:val="nil"/>
              </w:pBdr>
              <w:ind w:left="144" w:right="241"/>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Застосування єдиного підходу щодо розрахунку і порядку використання плати за оренду комунального та державного майна</w:t>
            </w:r>
          </w:p>
          <w:p w14:paraId="4F2B9C56" w14:textId="77777777" w:rsidR="00922602" w:rsidRPr="006A1B4F" w:rsidRDefault="00922602" w:rsidP="001B12B1">
            <w:pPr>
              <w:pStyle w:val="10"/>
              <w:pBdr>
                <w:top w:val="nil"/>
                <w:left w:val="nil"/>
                <w:bottom w:val="nil"/>
                <w:right w:val="nil"/>
                <w:between w:val="nil"/>
              </w:pBdr>
              <w:ind w:left="144" w:right="241"/>
              <w:jc w:val="both"/>
              <w:rPr>
                <w:rFonts w:asciiTheme="majorBidi" w:eastAsia="Times New Roman" w:hAnsiTheme="majorBidi" w:cstheme="majorBidi"/>
                <w:color w:val="000000"/>
              </w:rPr>
            </w:pPr>
          </w:p>
        </w:tc>
        <w:tc>
          <w:tcPr>
            <w:tcW w:w="3681" w:type="dxa"/>
            <w:tcBorders>
              <w:top w:val="single" w:sz="4" w:space="0" w:color="000000"/>
              <w:left w:val="single" w:sz="4" w:space="0" w:color="000000"/>
              <w:bottom w:val="single" w:sz="4" w:space="0" w:color="000000"/>
              <w:right w:val="single" w:sz="4" w:space="0" w:color="000000"/>
            </w:tcBorders>
            <w:shd w:val="clear" w:color="auto" w:fill="FFFFFF"/>
          </w:tcPr>
          <w:p w14:paraId="57197AB0" w14:textId="05ABAB16" w:rsidR="00922602" w:rsidRPr="006A1B4F" w:rsidRDefault="00312A85" w:rsidP="001B12B1">
            <w:pPr>
              <w:pStyle w:val="10"/>
              <w:pBdr>
                <w:top w:val="nil"/>
                <w:left w:val="nil"/>
                <w:bottom w:val="nil"/>
                <w:right w:val="nil"/>
                <w:between w:val="nil"/>
              </w:pBdr>
              <w:tabs>
                <w:tab w:val="left" w:pos="1666"/>
                <w:tab w:val="left" w:pos="2467"/>
              </w:tabs>
              <w:ind w:left="164" w:right="20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Положення Методики розрахунку орендної плати за державне майно, затвердженої Постановою Кабінету Міністрів України від 28 квітня 2021 року № 630, не враховують інтереси ор</w:t>
            </w:r>
            <w:r w:rsidR="00B75274" w:rsidRPr="006A1B4F">
              <w:rPr>
                <w:rFonts w:asciiTheme="majorBidi" w:eastAsia="Times New Roman" w:hAnsiTheme="majorBidi" w:cstheme="majorBidi"/>
                <w:color w:val="000000"/>
              </w:rPr>
              <w:t>ганів місцевого самоврядування</w:t>
            </w:r>
            <w:r w:rsidR="00B75274" w:rsidRPr="006A1B4F">
              <w:rPr>
                <w:rFonts w:asciiTheme="majorBidi" w:eastAsia="Times New Roman" w:hAnsiTheme="majorBidi" w:cstheme="majorBidi"/>
                <w:color w:val="000000"/>
                <w:lang w:val="ru-RU"/>
              </w:rPr>
              <w:t xml:space="preserve"> </w:t>
            </w:r>
            <w:r w:rsidR="00B75274" w:rsidRPr="006A1B4F">
              <w:rPr>
                <w:rFonts w:asciiTheme="majorBidi" w:eastAsia="Times New Roman" w:hAnsiTheme="majorBidi" w:cstheme="majorBidi"/>
                <w:color w:val="000000"/>
              </w:rPr>
              <w:t xml:space="preserve">щодо </w:t>
            </w:r>
            <w:proofErr w:type="spellStart"/>
            <w:r w:rsidR="00B75274" w:rsidRPr="006A1B4F">
              <w:rPr>
                <w:rFonts w:asciiTheme="majorBidi" w:eastAsia="Times New Roman" w:hAnsiTheme="majorBidi" w:cstheme="majorBidi"/>
                <w:color w:val="000000"/>
              </w:rPr>
              <w:t>ефективн</w:t>
            </w:r>
            <w:proofErr w:type="spellEnd"/>
            <w:r w:rsidR="00B75274" w:rsidRPr="006A1B4F">
              <w:rPr>
                <w:rFonts w:asciiTheme="majorBidi" w:eastAsia="Times New Roman" w:hAnsiTheme="majorBidi" w:cstheme="majorBidi"/>
                <w:color w:val="000000"/>
                <w:lang w:val="ru-RU"/>
              </w:rPr>
              <w:t>ого</w:t>
            </w:r>
            <w:r w:rsidRPr="006A1B4F">
              <w:rPr>
                <w:rFonts w:asciiTheme="majorBidi" w:eastAsia="Times New Roman" w:hAnsiTheme="majorBidi" w:cstheme="majorBidi"/>
                <w:color w:val="000000"/>
              </w:rPr>
              <w:t xml:space="preserve"> використання комунального майна.</w:t>
            </w:r>
            <w:r w:rsidR="00376EEC" w:rsidRPr="006A1B4F">
              <w:rPr>
                <w:rFonts w:asciiTheme="majorBidi" w:eastAsia="Times New Roman" w:hAnsiTheme="majorBidi" w:cstheme="majorBidi"/>
                <w:color w:val="000000"/>
              </w:rPr>
              <w:t xml:space="preserve"> В результаті чого виникає неефективне (не раціональне) використання бюджетних коштів.</w:t>
            </w:r>
          </w:p>
          <w:p w14:paraId="07849DEA" w14:textId="77777777" w:rsidR="00922602" w:rsidRPr="006A1B4F" w:rsidRDefault="00922602" w:rsidP="001B12B1">
            <w:pPr>
              <w:pStyle w:val="10"/>
              <w:pBdr>
                <w:top w:val="nil"/>
                <w:left w:val="nil"/>
                <w:bottom w:val="nil"/>
                <w:right w:val="nil"/>
                <w:between w:val="nil"/>
              </w:pBdr>
              <w:tabs>
                <w:tab w:val="left" w:pos="1666"/>
                <w:tab w:val="left" w:pos="2467"/>
              </w:tabs>
              <w:ind w:left="164" w:right="202"/>
              <w:jc w:val="both"/>
              <w:rPr>
                <w:rFonts w:asciiTheme="majorBidi" w:eastAsia="Times New Roman" w:hAnsiTheme="majorBidi" w:cstheme="majorBidi"/>
                <w:color w:val="000000"/>
              </w:rPr>
            </w:pPr>
          </w:p>
          <w:p w14:paraId="05AAC3AC" w14:textId="77777777" w:rsidR="00922602" w:rsidRPr="006A1B4F" w:rsidRDefault="00922602" w:rsidP="001B12B1">
            <w:pPr>
              <w:pStyle w:val="10"/>
              <w:pBdr>
                <w:top w:val="nil"/>
                <w:left w:val="nil"/>
                <w:bottom w:val="nil"/>
                <w:right w:val="nil"/>
                <w:between w:val="nil"/>
              </w:pBdr>
              <w:tabs>
                <w:tab w:val="left" w:pos="1666"/>
                <w:tab w:val="left" w:pos="2467"/>
              </w:tabs>
              <w:ind w:left="164" w:right="202"/>
              <w:jc w:val="both"/>
              <w:rPr>
                <w:rFonts w:asciiTheme="majorBidi" w:eastAsia="Times New Roman" w:hAnsiTheme="majorBidi" w:cstheme="majorBidi"/>
                <w:color w:val="000000"/>
              </w:rPr>
            </w:pPr>
          </w:p>
        </w:tc>
      </w:tr>
      <w:tr w:rsidR="00922602" w:rsidRPr="006A1B4F" w14:paraId="0B4B4E2E" w14:textId="77777777">
        <w:trPr>
          <w:cantSplit/>
          <w:trHeight w:val="4550"/>
          <w:tblHeader/>
        </w:trPr>
        <w:tc>
          <w:tcPr>
            <w:tcW w:w="2001" w:type="dxa"/>
            <w:tcBorders>
              <w:top w:val="single" w:sz="4" w:space="0" w:color="000000"/>
              <w:left w:val="single" w:sz="4" w:space="0" w:color="000000"/>
              <w:bottom w:val="single" w:sz="4" w:space="0" w:color="000000"/>
            </w:tcBorders>
            <w:shd w:val="clear" w:color="auto" w:fill="FFFFFF"/>
          </w:tcPr>
          <w:p w14:paraId="30203F8F" w14:textId="77777777" w:rsidR="00922602" w:rsidRPr="006A1B4F" w:rsidRDefault="00312A85" w:rsidP="001B12B1">
            <w:pPr>
              <w:pStyle w:val="10"/>
              <w:pBdr>
                <w:top w:val="nil"/>
                <w:left w:val="nil"/>
                <w:bottom w:val="nil"/>
                <w:right w:val="nil"/>
                <w:between w:val="nil"/>
              </w:pBdr>
              <w:ind w:left="14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2:</w:t>
            </w:r>
          </w:p>
          <w:p w14:paraId="60331476" w14:textId="77777777" w:rsidR="00922602" w:rsidRPr="006A1B4F" w:rsidRDefault="00922602" w:rsidP="001B12B1">
            <w:pPr>
              <w:pStyle w:val="10"/>
              <w:pBdr>
                <w:top w:val="nil"/>
                <w:left w:val="nil"/>
                <w:bottom w:val="nil"/>
                <w:right w:val="nil"/>
                <w:between w:val="nil"/>
              </w:pBdr>
              <w:ind w:left="142"/>
              <w:jc w:val="both"/>
              <w:rPr>
                <w:rFonts w:asciiTheme="majorBidi" w:eastAsia="Times New Roman" w:hAnsiTheme="majorBidi" w:cstheme="majorBidi"/>
                <w:color w:val="000000"/>
              </w:rPr>
            </w:pPr>
          </w:p>
        </w:tc>
        <w:tc>
          <w:tcPr>
            <w:tcW w:w="4124" w:type="dxa"/>
            <w:tcBorders>
              <w:top w:val="single" w:sz="4" w:space="0" w:color="000000"/>
              <w:left w:val="single" w:sz="4" w:space="0" w:color="000000"/>
              <w:bottom w:val="single" w:sz="4" w:space="0" w:color="000000"/>
            </w:tcBorders>
            <w:shd w:val="clear" w:color="auto" w:fill="FFFFFF"/>
          </w:tcPr>
          <w:p w14:paraId="22A4D699" w14:textId="77777777" w:rsidR="00922602" w:rsidRPr="006A1B4F" w:rsidRDefault="00312A85" w:rsidP="001B12B1">
            <w:pPr>
              <w:pStyle w:val="10"/>
              <w:pBdr>
                <w:top w:val="nil"/>
                <w:left w:val="nil"/>
                <w:bottom w:val="nil"/>
                <w:right w:val="nil"/>
                <w:between w:val="nil"/>
              </w:pBdr>
              <w:ind w:left="144" w:right="241"/>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Забезпечить виконання положень Закону України від 03 жовтня 2019 року № 157-ІХ «Про оренду державного і комунального майна», а також орендарів, які мають право на укладення договору оренди без проведення аукціону – механізмом розрахунку орендної плати в залежності від </w:t>
            </w:r>
            <w:proofErr w:type="spellStart"/>
            <w:r w:rsidR="00B75274" w:rsidRPr="006A1B4F">
              <w:rPr>
                <w:rFonts w:asciiTheme="majorBidi" w:eastAsia="Times New Roman" w:hAnsiTheme="majorBidi" w:cstheme="majorBidi"/>
                <w:color w:val="000000"/>
                <w:lang w:val="ru-RU"/>
              </w:rPr>
              <w:t>категор</w:t>
            </w:r>
            <w:r w:rsidR="00B75274" w:rsidRPr="006A1B4F">
              <w:rPr>
                <w:rFonts w:asciiTheme="majorBidi" w:eastAsia="Times New Roman" w:hAnsiTheme="majorBidi" w:cstheme="majorBidi"/>
                <w:color w:val="000000"/>
              </w:rPr>
              <w:t>ії</w:t>
            </w:r>
            <w:proofErr w:type="spellEnd"/>
            <w:r w:rsidR="00B75274"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орендаря.</w:t>
            </w:r>
          </w:p>
          <w:p w14:paraId="28C97C5B" w14:textId="177D0000" w:rsidR="00922602" w:rsidRPr="006A1B4F" w:rsidRDefault="00312A85" w:rsidP="001B12B1">
            <w:pPr>
              <w:pStyle w:val="10"/>
              <w:pBdr>
                <w:top w:val="nil"/>
                <w:left w:val="nil"/>
                <w:bottom w:val="nil"/>
                <w:right w:val="nil"/>
                <w:between w:val="nil"/>
              </w:pBdr>
              <w:ind w:left="144" w:right="241"/>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Підвищення ефективності здійснення правомочності щодо розпорядження об’єктами права комунальної власності, зміцнення економічних основ </w:t>
            </w:r>
            <w:r w:rsidR="000F1239" w:rsidRPr="006A1B4F">
              <w:rPr>
                <w:rFonts w:asciiTheme="majorBidi" w:eastAsia="Times New Roman" w:hAnsiTheme="majorBidi" w:cstheme="majorBidi"/>
                <w:color w:val="000000"/>
              </w:rPr>
              <w:t xml:space="preserve">Авангардівської селищної територіальної громади </w:t>
            </w:r>
            <w:r w:rsidRPr="006A1B4F">
              <w:rPr>
                <w:rFonts w:asciiTheme="majorBidi" w:eastAsia="Times New Roman" w:hAnsiTheme="majorBidi" w:cstheme="majorBidi"/>
                <w:color w:val="000000"/>
              </w:rPr>
              <w:t xml:space="preserve"> у зв’язку з можливістю врахування аспектів сталого розвитку </w:t>
            </w:r>
            <w:r w:rsidR="000F1239" w:rsidRPr="006A1B4F">
              <w:rPr>
                <w:rFonts w:asciiTheme="majorBidi" w:eastAsia="Times New Roman" w:hAnsiTheme="majorBidi" w:cstheme="majorBidi"/>
                <w:color w:val="000000"/>
              </w:rPr>
              <w:t>грома</w:t>
            </w:r>
            <w:r w:rsidR="00376EEC" w:rsidRPr="006A1B4F">
              <w:rPr>
                <w:rFonts w:asciiTheme="majorBidi" w:eastAsia="Times New Roman" w:hAnsiTheme="majorBidi" w:cstheme="majorBidi"/>
                <w:color w:val="000000"/>
              </w:rPr>
              <w:t>д</w:t>
            </w:r>
            <w:r w:rsidR="000F1239" w:rsidRPr="006A1B4F">
              <w:rPr>
                <w:rFonts w:asciiTheme="majorBidi" w:eastAsia="Times New Roman" w:hAnsiTheme="majorBidi" w:cstheme="majorBidi"/>
                <w:color w:val="000000"/>
              </w:rPr>
              <w:t>и.</w:t>
            </w:r>
          </w:p>
        </w:tc>
        <w:tc>
          <w:tcPr>
            <w:tcW w:w="3681" w:type="dxa"/>
            <w:tcBorders>
              <w:top w:val="single" w:sz="4" w:space="0" w:color="000000"/>
              <w:left w:val="single" w:sz="4" w:space="0" w:color="000000"/>
              <w:bottom w:val="single" w:sz="4" w:space="0" w:color="000000"/>
              <w:right w:val="single" w:sz="4" w:space="0" w:color="000000"/>
            </w:tcBorders>
            <w:shd w:val="clear" w:color="auto" w:fill="FFFFFF"/>
          </w:tcPr>
          <w:p w14:paraId="54B4818E" w14:textId="77777777" w:rsidR="00922602" w:rsidRPr="006A1B4F" w:rsidRDefault="00312A85" w:rsidP="001B12B1">
            <w:pPr>
              <w:pStyle w:val="10"/>
              <w:pBdr>
                <w:top w:val="nil"/>
                <w:left w:val="nil"/>
                <w:bottom w:val="nil"/>
                <w:right w:val="nil"/>
                <w:between w:val="nil"/>
              </w:pBdr>
              <w:tabs>
                <w:tab w:val="left" w:pos="1666"/>
                <w:tab w:val="left" w:pos="2467"/>
              </w:tabs>
              <w:ind w:left="164" w:right="20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Відсутні</w:t>
            </w:r>
          </w:p>
          <w:p w14:paraId="2BDAFDE7" w14:textId="77777777" w:rsidR="00922602" w:rsidRPr="006A1B4F" w:rsidRDefault="00922602" w:rsidP="001B12B1">
            <w:pPr>
              <w:pStyle w:val="10"/>
              <w:pBdr>
                <w:top w:val="nil"/>
                <w:left w:val="nil"/>
                <w:bottom w:val="nil"/>
                <w:right w:val="nil"/>
                <w:between w:val="nil"/>
              </w:pBdr>
              <w:tabs>
                <w:tab w:val="left" w:pos="1666"/>
                <w:tab w:val="left" w:pos="2467"/>
              </w:tabs>
              <w:ind w:left="164" w:right="202"/>
              <w:jc w:val="both"/>
              <w:rPr>
                <w:rFonts w:asciiTheme="majorBidi" w:eastAsia="Times New Roman" w:hAnsiTheme="majorBidi" w:cstheme="majorBidi"/>
                <w:color w:val="000000"/>
              </w:rPr>
            </w:pPr>
          </w:p>
        </w:tc>
      </w:tr>
    </w:tbl>
    <w:p w14:paraId="417AE9C8" w14:textId="77777777" w:rsidR="000F1239" w:rsidRPr="006A1B4F" w:rsidRDefault="000F1239" w:rsidP="001B12B1">
      <w:pPr>
        <w:pStyle w:val="10"/>
        <w:pBdr>
          <w:top w:val="nil"/>
          <w:left w:val="nil"/>
          <w:bottom w:val="nil"/>
          <w:right w:val="nil"/>
          <w:between w:val="nil"/>
        </w:pBdr>
        <w:tabs>
          <w:tab w:val="left" w:pos="1169"/>
        </w:tabs>
        <w:ind w:firstLine="822"/>
        <w:jc w:val="both"/>
        <w:rPr>
          <w:rFonts w:asciiTheme="majorBidi" w:eastAsia="Times New Roman" w:hAnsiTheme="majorBidi" w:cstheme="majorBidi"/>
          <w:b/>
          <w:bCs/>
          <w:i/>
          <w:iCs/>
          <w:color w:val="000000"/>
        </w:rPr>
      </w:pPr>
    </w:p>
    <w:p w14:paraId="6302E438" w14:textId="0A63DD4E" w:rsidR="00922602" w:rsidRPr="006A1B4F" w:rsidRDefault="00312A85" w:rsidP="000F1239">
      <w:pPr>
        <w:pStyle w:val="10"/>
        <w:pBdr>
          <w:top w:val="nil"/>
          <w:left w:val="nil"/>
          <w:bottom w:val="nil"/>
          <w:right w:val="nil"/>
          <w:between w:val="nil"/>
        </w:pBdr>
        <w:tabs>
          <w:tab w:val="left" w:pos="1169"/>
        </w:tabs>
        <w:ind w:firstLine="709"/>
        <w:jc w:val="both"/>
        <w:rPr>
          <w:rFonts w:asciiTheme="majorBidi" w:eastAsia="Times New Roman" w:hAnsiTheme="majorBidi" w:cstheme="majorBidi"/>
          <w:b/>
          <w:bCs/>
          <w:i/>
          <w:iCs/>
          <w:color w:val="000000"/>
        </w:rPr>
      </w:pPr>
      <w:r w:rsidRPr="006A1B4F">
        <w:rPr>
          <w:rFonts w:asciiTheme="majorBidi" w:eastAsia="Times New Roman" w:hAnsiTheme="majorBidi" w:cstheme="majorBidi"/>
          <w:b/>
          <w:bCs/>
          <w:i/>
          <w:iCs/>
          <w:color w:val="000000"/>
        </w:rPr>
        <w:t>Оцінка впливу на сферу інтересів суб’єктів господарювання</w:t>
      </w:r>
    </w:p>
    <w:p w14:paraId="342DB4D4" w14:textId="77777777" w:rsidR="000F1239" w:rsidRPr="006A1B4F" w:rsidRDefault="000F1239" w:rsidP="000F1239">
      <w:pPr>
        <w:pStyle w:val="10"/>
        <w:pBdr>
          <w:top w:val="nil"/>
          <w:left w:val="nil"/>
          <w:bottom w:val="nil"/>
          <w:right w:val="nil"/>
          <w:between w:val="nil"/>
        </w:pBdr>
        <w:tabs>
          <w:tab w:val="left" w:pos="1169"/>
        </w:tabs>
        <w:ind w:firstLine="709"/>
        <w:jc w:val="both"/>
        <w:rPr>
          <w:rFonts w:asciiTheme="majorBidi" w:eastAsia="Times New Roman" w:hAnsiTheme="majorBidi" w:cstheme="majorBidi"/>
          <w:b/>
          <w:bCs/>
          <w:i/>
          <w:iCs/>
          <w:color w:val="000000"/>
          <w:highlight w:val="yellow"/>
        </w:rPr>
      </w:pPr>
    </w:p>
    <w:tbl>
      <w:tblPr>
        <w:tblStyle w:val="a8"/>
        <w:tblW w:w="9639" w:type="dxa"/>
        <w:tblInd w:w="-142" w:type="dxa"/>
        <w:tblLayout w:type="fixed"/>
        <w:tblLook w:val="0000" w:firstRow="0" w:lastRow="0" w:firstColumn="0" w:lastColumn="0" w:noHBand="0" w:noVBand="0"/>
      </w:tblPr>
      <w:tblGrid>
        <w:gridCol w:w="4475"/>
        <w:gridCol w:w="1094"/>
        <w:gridCol w:w="1181"/>
        <w:gridCol w:w="1099"/>
        <w:gridCol w:w="939"/>
        <w:gridCol w:w="851"/>
      </w:tblGrid>
      <w:tr w:rsidR="00922602" w:rsidRPr="006A1B4F" w14:paraId="2CA892C0" w14:textId="77777777">
        <w:trPr>
          <w:cantSplit/>
          <w:trHeight w:val="1248"/>
          <w:tblHeader/>
        </w:trPr>
        <w:tc>
          <w:tcPr>
            <w:tcW w:w="4475" w:type="dxa"/>
            <w:tcBorders>
              <w:top w:val="single" w:sz="4" w:space="0" w:color="000000"/>
              <w:left w:val="single" w:sz="4" w:space="0" w:color="000000"/>
            </w:tcBorders>
            <w:shd w:val="clear" w:color="auto" w:fill="FFFFFF"/>
            <w:vAlign w:val="center"/>
          </w:tcPr>
          <w:p w14:paraId="00FA2A50"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Показник</w:t>
            </w:r>
          </w:p>
        </w:tc>
        <w:tc>
          <w:tcPr>
            <w:tcW w:w="1094" w:type="dxa"/>
            <w:tcBorders>
              <w:top w:val="single" w:sz="4" w:space="0" w:color="000000"/>
              <w:left w:val="single" w:sz="4" w:space="0" w:color="000000"/>
            </w:tcBorders>
            <w:shd w:val="clear" w:color="auto" w:fill="FFFFFF"/>
            <w:vAlign w:val="center"/>
          </w:tcPr>
          <w:p w14:paraId="1835FD1B" w14:textId="77777777" w:rsidR="00922602" w:rsidRPr="006A1B4F" w:rsidRDefault="00312A85" w:rsidP="001B12B1">
            <w:pPr>
              <w:pStyle w:val="10"/>
              <w:pBdr>
                <w:top w:val="nil"/>
                <w:left w:val="nil"/>
                <w:bottom w:val="nil"/>
                <w:right w:val="nil"/>
                <w:between w:val="nil"/>
              </w:pBdr>
              <w:rPr>
                <w:rFonts w:asciiTheme="majorBidi" w:eastAsia="Times New Roman" w:hAnsiTheme="majorBidi" w:cstheme="majorBidi"/>
                <w:color w:val="000000"/>
              </w:rPr>
            </w:pPr>
            <w:r w:rsidRPr="006A1B4F">
              <w:rPr>
                <w:rFonts w:asciiTheme="majorBidi" w:eastAsia="Times New Roman" w:hAnsiTheme="majorBidi" w:cstheme="majorBidi"/>
                <w:b/>
                <w:color w:val="000000"/>
              </w:rPr>
              <w:t>Великі</w:t>
            </w:r>
          </w:p>
        </w:tc>
        <w:tc>
          <w:tcPr>
            <w:tcW w:w="1181" w:type="dxa"/>
            <w:tcBorders>
              <w:top w:val="single" w:sz="4" w:space="0" w:color="000000"/>
              <w:left w:val="single" w:sz="4" w:space="0" w:color="000000"/>
            </w:tcBorders>
            <w:shd w:val="clear" w:color="auto" w:fill="FFFFFF"/>
            <w:vAlign w:val="center"/>
          </w:tcPr>
          <w:p w14:paraId="6A3BB792" w14:textId="77777777" w:rsidR="00922602" w:rsidRPr="006A1B4F" w:rsidRDefault="00312A85" w:rsidP="001B12B1">
            <w:pPr>
              <w:pStyle w:val="10"/>
              <w:pBdr>
                <w:top w:val="nil"/>
                <w:left w:val="nil"/>
                <w:bottom w:val="nil"/>
                <w:right w:val="nil"/>
                <w:between w:val="nil"/>
              </w:pBdr>
              <w:rPr>
                <w:rFonts w:asciiTheme="majorBidi" w:eastAsia="Times New Roman" w:hAnsiTheme="majorBidi" w:cstheme="majorBidi"/>
                <w:color w:val="000000"/>
              </w:rPr>
            </w:pPr>
            <w:r w:rsidRPr="006A1B4F">
              <w:rPr>
                <w:rFonts w:asciiTheme="majorBidi" w:eastAsia="Times New Roman" w:hAnsiTheme="majorBidi" w:cstheme="majorBidi"/>
                <w:b/>
                <w:color w:val="000000"/>
              </w:rPr>
              <w:t>Середні</w:t>
            </w:r>
          </w:p>
        </w:tc>
        <w:tc>
          <w:tcPr>
            <w:tcW w:w="1099" w:type="dxa"/>
            <w:tcBorders>
              <w:top w:val="single" w:sz="4" w:space="0" w:color="000000"/>
              <w:left w:val="single" w:sz="4" w:space="0" w:color="000000"/>
            </w:tcBorders>
            <w:shd w:val="clear" w:color="auto" w:fill="FFFFFF"/>
            <w:vAlign w:val="center"/>
          </w:tcPr>
          <w:p w14:paraId="0FFE3B50" w14:textId="77777777" w:rsidR="00922602" w:rsidRPr="006A1B4F" w:rsidRDefault="00312A85" w:rsidP="001B12B1">
            <w:pPr>
              <w:pStyle w:val="10"/>
              <w:pBdr>
                <w:top w:val="nil"/>
                <w:left w:val="nil"/>
                <w:bottom w:val="nil"/>
                <w:right w:val="nil"/>
                <w:between w:val="nil"/>
              </w:pBdr>
              <w:ind w:left="280"/>
              <w:rPr>
                <w:rFonts w:asciiTheme="majorBidi" w:eastAsia="Times New Roman" w:hAnsiTheme="majorBidi" w:cstheme="majorBidi"/>
                <w:color w:val="000000"/>
              </w:rPr>
            </w:pPr>
            <w:r w:rsidRPr="006A1B4F">
              <w:rPr>
                <w:rFonts w:asciiTheme="majorBidi" w:eastAsia="Times New Roman" w:hAnsiTheme="majorBidi" w:cstheme="majorBidi"/>
                <w:b/>
                <w:color w:val="000000"/>
              </w:rPr>
              <w:t>Малі</w:t>
            </w:r>
          </w:p>
        </w:tc>
        <w:tc>
          <w:tcPr>
            <w:tcW w:w="939" w:type="dxa"/>
            <w:tcBorders>
              <w:top w:val="single" w:sz="4" w:space="0" w:color="000000"/>
              <w:left w:val="single" w:sz="4" w:space="0" w:color="000000"/>
            </w:tcBorders>
            <w:shd w:val="clear" w:color="auto" w:fill="FFFFFF"/>
            <w:vAlign w:val="center"/>
          </w:tcPr>
          <w:p w14:paraId="27363100" w14:textId="77777777" w:rsidR="00922602" w:rsidRPr="006A1B4F" w:rsidRDefault="00312A85" w:rsidP="001B12B1">
            <w:pPr>
              <w:pStyle w:val="10"/>
              <w:pBdr>
                <w:top w:val="nil"/>
                <w:left w:val="nil"/>
                <w:bottom w:val="nil"/>
                <w:right w:val="nil"/>
                <w:between w:val="nil"/>
              </w:pBdr>
              <w:ind w:left="180"/>
              <w:rPr>
                <w:rFonts w:asciiTheme="majorBidi" w:eastAsia="Times New Roman" w:hAnsiTheme="majorBidi" w:cstheme="majorBidi"/>
                <w:color w:val="000000"/>
              </w:rPr>
            </w:pPr>
            <w:r w:rsidRPr="006A1B4F">
              <w:rPr>
                <w:rFonts w:asciiTheme="majorBidi" w:eastAsia="Times New Roman" w:hAnsiTheme="majorBidi" w:cstheme="majorBidi"/>
                <w:b/>
                <w:color w:val="000000"/>
              </w:rPr>
              <w:t>Мікро</w:t>
            </w:r>
          </w:p>
        </w:tc>
        <w:tc>
          <w:tcPr>
            <w:tcW w:w="851" w:type="dxa"/>
            <w:tcBorders>
              <w:top w:val="single" w:sz="4" w:space="0" w:color="000000"/>
              <w:left w:val="single" w:sz="4" w:space="0" w:color="000000"/>
              <w:right w:val="single" w:sz="4" w:space="0" w:color="000000"/>
            </w:tcBorders>
            <w:shd w:val="clear" w:color="auto" w:fill="FFFFFF"/>
            <w:vAlign w:val="center"/>
          </w:tcPr>
          <w:p w14:paraId="650284AB" w14:textId="77777777" w:rsidR="00922602" w:rsidRPr="006A1B4F" w:rsidRDefault="00312A85" w:rsidP="001B12B1">
            <w:pPr>
              <w:pStyle w:val="10"/>
              <w:pBdr>
                <w:top w:val="nil"/>
                <w:left w:val="nil"/>
                <w:bottom w:val="nil"/>
                <w:right w:val="nil"/>
                <w:between w:val="nil"/>
              </w:pBdr>
              <w:ind w:left="200"/>
              <w:rPr>
                <w:rFonts w:asciiTheme="majorBidi" w:eastAsia="Times New Roman" w:hAnsiTheme="majorBidi" w:cstheme="majorBidi"/>
                <w:color w:val="000000"/>
              </w:rPr>
            </w:pPr>
            <w:r w:rsidRPr="006A1B4F">
              <w:rPr>
                <w:rFonts w:asciiTheme="majorBidi" w:eastAsia="Times New Roman" w:hAnsiTheme="majorBidi" w:cstheme="majorBidi"/>
                <w:b/>
                <w:color w:val="000000"/>
              </w:rPr>
              <w:t>Разом</w:t>
            </w:r>
          </w:p>
        </w:tc>
      </w:tr>
      <w:tr w:rsidR="00922602" w:rsidRPr="006A1B4F" w14:paraId="55C0C5D4" w14:textId="77777777">
        <w:trPr>
          <w:cantSplit/>
          <w:trHeight w:val="955"/>
          <w:tblHeader/>
        </w:trPr>
        <w:tc>
          <w:tcPr>
            <w:tcW w:w="4475" w:type="dxa"/>
            <w:tcBorders>
              <w:top w:val="single" w:sz="4" w:space="0" w:color="000000"/>
              <w:left w:val="single" w:sz="4" w:space="0" w:color="000000"/>
            </w:tcBorders>
            <w:shd w:val="clear" w:color="auto" w:fill="FFFFFF"/>
            <w:vAlign w:val="bottom"/>
          </w:tcPr>
          <w:p w14:paraId="1CE50E7D"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Кількість суб’єктів господарювання, що підпадають під дію регулювання, одиниць</w:t>
            </w:r>
          </w:p>
          <w:p w14:paraId="5A12A88A" w14:textId="587F0B65" w:rsidR="000F1239" w:rsidRPr="006A1B4F" w:rsidRDefault="000F1239" w:rsidP="001B12B1">
            <w:pPr>
              <w:pStyle w:val="10"/>
              <w:pBdr>
                <w:top w:val="nil"/>
                <w:left w:val="nil"/>
                <w:bottom w:val="nil"/>
                <w:right w:val="nil"/>
                <w:between w:val="nil"/>
              </w:pBdr>
              <w:jc w:val="center"/>
              <w:rPr>
                <w:rFonts w:asciiTheme="majorBidi" w:eastAsia="Times New Roman" w:hAnsiTheme="majorBidi" w:cstheme="majorBidi"/>
                <w:color w:val="000000"/>
              </w:rPr>
            </w:pPr>
          </w:p>
        </w:tc>
        <w:tc>
          <w:tcPr>
            <w:tcW w:w="1094" w:type="dxa"/>
            <w:tcBorders>
              <w:top w:val="single" w:sz="4" w:space="0" w:color="000000"/>
              <w:left w:val="single" w:sz="4" w:space="0" w:color="000000"/>
            </w:tcBorders>
            <w:shd w:val="clear" w:color="auto" w:fill="FFFFFF"/>
            <w:vAlign w:val="center"/>
          </w:tcPr>
          <w:p w14:paraId="18D89957"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0</w:t>
            </w:r>
          </w:p>
        </w:tc>
        <w:tc>
          <w:tcPr>
            <w:tcW w:w="1181" w:type="dxa"/>
            <w:tcBorders>
              <w:top w:val="single" w:sz="4" w:space="0" w:color="000000"/>
              <w:left w:val="single" w:sz="4" w:space="0" w:color="000000"/>
            </w:tcBorders>
            <w:shd w:val="clear" w:color="auto" w:fill="FFFFFF"/>
            <w:vAlign w:val="center"/>
          </w:tcPr>
          <w:p w14:paraId="487F64F7"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0</w:t>
            </w:r>
          </w:p>
        </w:tc>
        <w:tc>
          <w:tcPr>
            <w:tcW w:w="1099" w:type="dxa"/>
            <w:tcBorders>
              <w:top w:val="single" w:sz="4" w:space="0" w:color="000000"/>
              <w:left w:val="single" w:sz="4" w:space="0" w:color="000000"/>
            </w:tcBorders>
            <w:shd w:val="clear" w:color="auto" w:fill="FFFFFF"/>
            <w:vAlign w:val="center"/>
          </w:tcPr>
          <w:p w14:paraId="5A5120B6" w14:textId="51D18FF6" w:rsidR="00922602" w:rsidRPr="006A1B4F" w:rsidRDefault="00766082" w:rsidP="001B12B1">
            <w:pPr>
              <w:pStyle w:val="10"/>
              <w:pBdr>
                <w:top w:val="nil"/>
                <w:left w:val="nil"/>
                <w:bottom w:val="nil"/>
                <w:right w:val="nil"/>
                <w:between w:val="nil"/>
              </w:pBdr>
              <w:ind w:left="280"/>
              <w:rPr>
                <w:rFonts w:asciiTheme="majorBidi" w:eastAsia="Times New Roman" w:hAnsiTheme="majorBidi" w:cstheme="majorBidi"/>
                <w:color w:val="000000"/>
              </w:rPr>
            </w:pPr>
            <w:r w:rsidRPr="006A1B4F">
              <w:rPr>
                <w:rFonts w:asciiTheme="majorBidi" w:eastAsia="Times New Roman" w:hAnsiTheme="majorBidi" w:cstheme="majorBidi"/>
                <w:color w:val="000000"/>
              </w:rPr>
              <w:t>78</w:t>
            </w:r>
          </w:p>
        </w:tc>
        <w:tc>
          <w:tcPr>
            <w:tcW w:w="939" w:type="dxa"/>
            <w:tcBorders>
              <w:top w:val="single" w:sz="4" w:space="0" w:color="000000"/>
              <w:left w:val="single" w:sz="4" w:space="0" w:color="000000"/>
            </w:tcBorders>
            <w:shd w:val="clear" w:color="auto" w:fill="FFFFFF"/>
            <w:vAlign w:val="center"/>
          </w:tcPr>
          <w:p w14:paraId="7560BCCE" w14:textId="77777777" w:rsidR="00922602" w:rsidRPr="006A1B4F" w:rsidRDefault="00312A85" w:rsidP="001B12B1">
            <w:pPr>
              <w:pStyle w:val="10"/>
              <w:pBdr>
                <w:top w:val="nil"/>
                <w:left w:val="nil"/>
                <w:bottom w:val="nil"/>
                <w:right w:val="nil"/>
                <w:between w:val="nil"/>
              </w:pBdr>
              <w:ind w:left="380"/>
              <w:rPr>
                <w:rFonts w:asciiTheme="majorBidi" w:eastAsia="Times New Roman" w:hAnsiTheme="majorBidi" w:cstheme="majorBidi"/>
                <w:color w:val="000000"/>
              </w:rPr>
            </w:pPr>
            <w:r w:rsidRPr="006A1B4F">
              <w:rPr>
                <w:rFonts w:asciiTheme="majorBidi" w:eastAsia="Times New Roman" w:hAnsiTheme="majorBidi" w:cstheme="majorBidi"/>
                <w:b/>
                <w:color w:val="000000"/>
              </w:rPr>
              <w:t>0</w:t>
            </w:r>
          </w:p>
        </w:tc>
        <w:tc>
          <w:tcPr>
            <w:tcW w:w="851" w:type="dxa"/>
            <w:tcBorders>
              <w:top w:val="single" w:sz="4" w:space="0" w:color="000000"/>
              <w:left w:val="single" w:sz="4" w:space="0" w:color="000000"/>
              <w:right w:val="single" w:sz="4" w:space="0" w:color="000000"/>
            </w:tcBorders>
            <w:shd w:val="clear" w:color="auto" w:fill="FFFFFF"/>
            <w:vAlign w:val="center"/>
          </w:tcPr>
          <w:p w14:paraId="1B38311C" w14:textId="59661F8B" w:rsidR="00922602" w:rsidRPr="006A1B4F" w:rsidRDefault="00766082"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78</w:t>
            </w:r>
          </w:p>
        </w:tc>
      </w:tr>
      <w:tr w:rsidR="00922602" w:rsidRPr="006A1B4F" w14:paraId="528D1257" w14:textId="77777777">
        <w:trPr>
          <w:cantSplit/>
          <w:trHeight w:val="662"/>
          <w:tblHeader/>
        </w:trPr>
        <w:tc>
          <w:tcPr>
            <w:tcW w:w="4475" w:type="dxa"/>
            <w:tcBorders>
              <w:top w:val="single" w:sz="4" w:space="0" w:color="000000"/>
              <w:left w:val="single" w:sz="4" w:space="0" w:color="000000"/>
              <w:bottom w:val="single" w:sz="4" w:space="0" w:color="000000"/>
            </w:tcBorders>
            <w:shd w:val="clear" w:color="auto" w:fill="FFFFFF"/>
            <w:vAlign w:val="bottom"/>
          </w:tcPr>
          <w:p w14:paraId="5F723ADE"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Питома вага групи у загальній кількості, відсотків</w:t>
            </w:r>
          </w:p>
        </w:tc>
        <w:tc>
          <w:tcPr>
            <w:tcW w:w="1094" w:type="dxa"/>
            <w:tcBorders>
              <w:top w:val="single" w:sz="4" w:space="0" w:color="000000"/>
              <w:left w:val="single" w:sz="4" w:space="0" w:color="000000"/>
              <w:bottom w:val="single" w:sz="4" w:space="0" w:color="000000"/>
            </w:tcBorders>
            <w:shd w:val="clear" w:color="auto" w:fill="FFFFFF"/>
            <w:vAlign w:val="center"/>
          </w:tcPr>
          <w:p w14:paraId="3C494338"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0</w:t>
            </w:r>
          </w:p>
        </w:tc>
        <w:tc>
          <w:tcPr>
            <w:tcW w:w="1181" w:type="dxa"/>
            <w:tcBorders>
              <w:top w:val="single" w:sz="4" w:space="0" w:color="000000"/>
              <w:left w:val="single" w:sz="4" w:space="0" w:color="000000"/>
              <w:bottom w:val="single" w:sz="4" w:space="0" w:color="000000"/>
            </w:tcBorders>
            <w:shd w:val="clear" w:color="auto" w:fill="FFFFFF"/>
            <w:vAlign w:val="center"/>
          </w:tcPr>
          <w:p w14:paraId="61A49CC0"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0</w:t>
            </w:r>
          </w:p>
        </w:tc>
        <w:tc>
          <w:tcPr>
            <w:tcW w:w="1099" w:type="dxa"/>
            <w:tcBorders>
              <w:top w:val="single" w:sz="4" w:space="0" w:color="000000"/>
              <w:left w:val="single" w:sz="4" w:space="0" w:color="000000"/>
              <w:bottom w:val="single" w:sz="4" w:space="0" w:color="000000"/>
            </w:tcBorders>
            <w:shd w:val="clear" w:color="auto" w:fill="FFFFFF"/>
            <w:vAlign w:val="center"/>
          </w:tcPr>
          <w:p w14:paraId="031E50B0" w14:textId="77777777" w:rsidR="00922602" w:rsidRPr="006A1B4F" w:rsidRDefault="00312A85" w:rsidP="001B12B1">
            <w:pPr>
              <w:pStyle w:val="10"/>
              <w:pBdr>
                <w:top w:val="nil"/>
                <w:left w:val="nil"/>
                <w:bottom w:val="nil"/>
                <w:right w:val="nil"/>
                <w:between w:val="nil"/>
              </w:pBdr>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100</w:t>
            </w:r>
          </w:p>
        </w:tc>
        <w:tc>
          <w:tcPr>
            <w:tcW w:w="939" w:type="dxa"/>
            <w:tcBorders>
              <w:top w:val="single" w:sz="4" w:space="0" w:color="000000"/>
              <w:left w:val="single" w:sz="4" w:space="0" w:color="000000"/>
              <w:bottom w:val="single" w:sz="4" w:space="0" w:color="000000"/>
            </w:tcBorders>
            <w:shd w:val="clear" w:color="auto" w:fill="FFFFFF"/>
            <w:vAlign w:val="center"/>
          </w:tcPr>
          <w:p w14:paraId="3D0A28BC" w14:textId="77777777" w:rsidR="00922602" w:rsidRPr="006A1B4F" w:rsidRDefault="00312A85" w:rsidP="001B12B1">
            <w:pPr>
              <w:pStyle w:val="10"/>
              <w:pBdr>
                <w:top w:val="nil"/>
                <w:left w:val="nil"/>
                <w:bottom w:val="nil"/>
                <w:right w:val="nil"/>
                <w:between w:val="nil"/>
              </w:pBdr>
              <w:ind w:left="380"/>
              <w:rPr>
                <w:rFonts w:asciiTheme="majorBidi" w:eastAsia="Times New Roman" w:hAnsiTheme="majorBidi" w:cstheme="majorBidi"/>
                <w:color w:val="000000"/>
              </w:rPr>
            </w:pPr>
            <w:r w:rsidRPr="006A1B4F">
              <w:rPr>
                <w:rFonts w:asciiTheme="majorBidi" w:eastAsia="Times New Roman" w:hAnsiTheme="majorBidi" w:cstheme="majorBidi"/>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98200"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100</w:t>
            </w:r>
          </w:p>
        </w:tc>
      </w:tr>
    </w:tbl>
    <w:p w14:paraId="0905735E" w14:textId="656A5B8B" w:rsidR="00922602" w:rsidRPr="006A1B4F" w:rsidRDefault="00312A85" w:rsidP="001B12B1">
      <w:pPr>
        <w:pStyle w:val="10"/>
        <w:pBdr>
          <w:top w:val="nil"/>
          <w:left w:val="nil"/>
          <w:bottom w:val="nil"/>
          <w:right w:val="nil"/>
          <w:between w:val="nil"/>
        </w:pBdr>
        <w:shd w:val="clear" w:color="auto" w:fill="FFFFFF"/>
        <w:tabs>
          <w:tab w:val="left" w:pos="1169"/>
        </w:tabs>
        <w:ind w:firstLine="82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Орієнтовна кількість суб’єктів господарювання (орендарі комунального майна </w:t>
      </w:r>
      <w:r w:rsidR="00766082" w:rsidRPr="006A1B4F">
        <w:rPr>
          <w:rFonts w:asciiTheme="majorBidi" w:eastAsia="Times New Roman" w:hAnsiTheme="majorBidi" w:cstheme="majorBidi"/>
          <w:color w:val="000000"/>
        </w:rPr>
        <w:t xml:space="preserve">Авангардівської селищної </w:t>
      </w:r>
      <w:r w:rsidRPr="006A1B4F">
        <w:rPr>
          <w:rFonts w:asciiTheme="majorBidi" w:eastAsia="Times New Roman" w:hAnsiTheme="majorBidi" w:cstheme="majorBidi"/>
          <w:color w:val="000000"/>
        </w:rPr>
        <w:t xml:space="preserve">територіальної громади), що мають виконати вимоги регулювання, становитиме </w:t>
      </w:r>
      <w:r w:rsidR="00766082" w:rsidRPr="006A1B4F">
        <w:rPr>
          <w:rFonts w:asciiTheme="majorBidi" w:eastAsia="Times New Roman" w:hAnsiTheme="majorBidi" w:cstheme="majorBidi"/>
          <w:color w:val="000000"/>
        </w:rPr>
        <w:t>78</w:t>
      </w:r>
      <w:r w:rsidRPr="006A1B4F">
        <w:rPr>
          <w:rFonts w:asciiTheme="majorBidi" w:eastAsia="Times New Roman" w:hAnsiTheme="majorBidi" w:cstheme="majorBidi"/>
          <w:color w:val="000000"/>
        </w:rPr>
        <w:t>*.</w:t>
      </w:r>
    </w:p>
    <w:p w14:paraId="312795DF" w14:textId="365C6D3D" w:rsidR="00922602" w:rsidRPr="006A1B4F" w:rsidRDefault="00312A85" w:rsidP="001B12B1">
      <w:pPr>
        <w:pStyle w:val="10"/>
        <w:pBdr>
          <w:top w:val="nil"/>
          <w:left w:val="nil"/>
          <w:bottom w:val="nil"/>
          <w:right w:val="nil"/>
          <w:between w:val="nil"/>
        </w:pBdr>
        <w:shd w:val="clear" w:color="auto" w:fill="FFFFFF"/>
        <w:tabs>
          <w:tab w:val="left" w:pos="1169"/>
        </w:tabs>
        <w:ind w:firstLine="82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*Статистична інформація </w:t>
      </w:r>
      <w:r w:rsidR="00766082" w:rsidRPr="006A1B4F">
        <w:rPr>
          <w:rFonts w:asciiTheme="majorBidi" w:eastAsia="Times New Roman" w:hAnsiTheme="majorBidi" w:cstheme="majorBidi"/>
          <w:color w:val="000000"/>
        </w:rPr>
        <w:t>Авангардівської селищної ради</w:t>
      </w:r>
      <w:r w:rsidRPr="006A1B4F">
        <w:rPr>
          <w:rFonts w:asciiTheme="majorBidi" w:eastAsia="Times New Roman" w:hAnsiTheme="majorBidi" w:cstheme="majorBidi"/>
          <w:color w:val="000000"/>
        </w:rPr>
        <w:t xml:space="preserve"> </w:t>
      </w:r>
      <w:proofErr w:type="spellStart"/>
      <w:r w:rsidRPr="006A1B4F">
        <w:rPr>
          <w:rFonts w:asciiTheme="majorBidi" w:eastAsia="Times New Roman" w:hAnsiTheme="majorBidi" w:cstheme="majorBidi"/>
          <w:color w:val="000000"/>
        </w:rPr>
        <w:t>ради</w:t>
      </w:r>
      <w:proofErr w:type="spellEnd"/>
      <w:r w:rsidRPr="006A1B4F">
        <w:rPr>
          <w:rFonts w:asciiTheme="majorBidi" w:eastAsia="Times New Roman" w:hAnsiTheme="majorBidi" w:cstheme="majorBidi"/>
          <w:color w:val="000000"/>
        </w:rPr>
        <w:t xml:space="preserve"> станом на 31.12.</w:t>
      </w:r>
      <w:r w:rsidRPr="006A1B4F">
        <w:rPr>
          <w:rFonts w:asciiTheme="majorBidi" w:eastAsia="Times New Roman" w:hAnsiTheme="majorBidi" w:cstheme="majorBidi"/>
        </w:rPr>
        <w:t>2022</w:t>
      </w:r>
      <w:r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lastRenderedPageBreak/>
        <w:t xml:space="preserve">(без урахування </w:t>
      </w:r>
      <w:r w:rsidR="00BC6DCD" w:rsidRPr="006A1B4F">
        <w:rPr>
          <w:rFonts w:asciiTheme="majorBidi" w:eastAsia="Times New Roman" w:hAnsiTheme="majorBidi" w:cstheme="majorBidi"/>
          <w:color w:val="000000"/>
        </w:rPr>
        <w:t>12</w:t>
      </w:r>
      <w:r w:rsidRPr="006A1B4F">
        <w:rPr>
          <w:rFonts w:asciiTheme="majorBidi" w:eastAsia="Times New Roman" w:hAnsiTheme="majorBidi" w:cstheme="majorBidi"/>
          <w:color w:val="000000"/>
        </w:rPr>
        <w:t xml:space="preserve"> договорів оренди, укладених з орендарями – бюджетними установами, організаціями).</w:t>
      </w:r>
    </w:p>
    <w:tbl>
      <w:tblPr>
        <w:tblStyle w:val="a9"/>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4254"/>
        <w:gridCol w:w="3366"/>
      </w:tblGrid>
      <w:tr w:rsidR="00922602" w:rsidRPr="006A1B4F" w14:paraId="68FEB2AE" w14:textId="77777777" w:rsidTr="00AB5A6D">
        <w:trPr>
          <w:cantSplit/>
          <w:tblHeader/>
        </w:trPr>
        <w:tc>
          <w:tcPr>
            <w:tcW w:w="2017" w:type="dxa"/>
          </w:tcPr>
          <w:p w14:paraId="524C2ED8" w14:textId="77777777" w:rsidR="00922602" w:rsidRPr="006A1B4F" w:rsidRDefault="00312A85" w:rsidP="001B12B1">
            <w:pPr>
              <w:pStyle w:val="10"/>
              <w:pBdr>
                <w:top w:val="nil"/>
                <w:left w:val="nil"/>
                <w:bottom w:val="nil"/>
                <w:right w:val="nil"/>
                <w:between w:val="nil"/>
              </w:pBdr>
              <w:shd w:val="clear" w:color="auto" w:fill="FFFFFF"/>
              <w:tabs>
                <w:tab w:val="left" w:pos="1169"/>
              </w:tabs>
              <w:ind w:hanging="360"/>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Вид</w:t>
            </w:r>
          </w:p>
          <w:p w14:paraId="4FADFCEB" w14:textId="77777777" w:rsidR="00922602" w:rsidRPr="006A1B4F" w:rsidRDefault="00312A85" w:rsidP="001B12B1">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альтернативи</w:t>
            </w:r>
          </w:p>
        </w:tc>
        <w:tc>
          <w:tcPr>
            <w:tcW w:w="4254" w:type="dxa"/>
          </w:tcPr>
          <w:p w14:paraId="60CCA527" w14:textId="77777777" w:rsidR="00922602" w:rsidRPr="006A1B4F" w:rsidRDefault="00312A85" w:rsidP="001B12B1">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Вигоди</w:t>
            </w:r>
          </w:p>
        </w:tc>
        <w:tc>
          <w:tcPr>
            <w:tcW w:w="3366" w:type="dxa"/>
          </w:tcPr>
          <w:p w14:paraId="25E8A495" w14:textId="77777777" w:rsidR="00922602" w:rsidRPr="006A1B4F" w:rsidRDefault="00312A85" w:rsidP="001B12B1">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b/>
                <w:color w:val="000000"/>
              </w:rPr>
              <w:t>Витрати</w:t>
            </w:r>
          </w:p>
        </w:tc>
      </w:tr>
      <w:tr w:rsidR="00922602" w:rsidRPr="006A1B4F" w14:paraId="3B9C59F5" w14:textId="77777777" w:rsidTr="00115950">
        <w:trPr>
          <w:cantSplit/>
          <w:tblHeader/>
        </w:trPr>
        <w:tc>
          <w:tcPr>
            <w:tcW w:w="2017" w:type="dxa"/>
          </w:tcPr>
          <w:p w14:paraId="0E19B327" w14:textId="77777777" w:rsidR="00922602" w:rsidRPr="006A1B4F" w:rsidRDefault="00312A85" w:rsidP="001B12B1">
            <w:pPr>
              <w:pStyle w:val="10"/>
              <w:pBdr>
                <w:top w:val="nil"/>
                <w:left w:val="nil"/>
                <w:bottom w:val="nil"/>
                <w:right w:val="nil"/>
                <w:between w:val="nil"/>
              </w:pBdr>
              <w:tabs>
                <w:tab w:val="left" w:pos="1169"/>
              </w:tabs>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1</w:t>
            </w:r>
          </w:p>
        </w:tc>
        <w:tc>
          <w:tcPr>
            <w:tcW w:w="4254" w:type="dxa"/>
            <w:shd w:val="clear" w:color="auto" w:fill="auto"/>
          </w:tcPr>
          <w:p w14:paraId="0AFA8EE7" w14:textId="77777777" w:rsidR="00922602" w:rsidRPr="006A1B4F" w:rsidRDefault="00312A85" w:rsidP="00115950">
            <w:pPr>
              <w:pStyle w:val="10"/>
              <w:pBdr>
                <w:top w:val="nil"/>
                <w:left w:val="nil"/>
                <w:bottom w:val="nil"/>
                <w:right w:val="nil"/>
                <w:between w:val="nil"/>
              </w:pBdr>
              <w:tabs>
                <w:tab w:val="left" w:pos="1169"/>
              </w:tabs>
              <w:jc w:val="center"/>
              <w:rPr>
                <w:rFonts w:asciiTheme="majorBidi" w:eastAsia="Times New Roman" w:hAnsiTheme="majorBidi" w:cstheme="majorBidi"/>
                <w:color w:val="000000"/>
                <w:highlight w:val="yellow"/>
              </w:rPr>
            </w:pPr>
            <w:r w:rsidRPr="006A1B4F">
              <w:rPr>
                <w:rFonts w:asciiTheme="majorBidi" w:eastAsia="Times New Roman" w:hAnsiTheme="majorBidi" w:cstheme="majorBidi"/>
                <w:color w:val="000000"/>
              </w:rPr>
              <w:t>Відсутні</w:t>
            </w:r>
          </w:p>
        </w:tc>
        <w:tc>
          <w:tcPr>
            <w:tcW w:w="3366" w:type="dxa"/>
          </w:tcPr>
          <w:p w14:paraId="44BA56AF" w14:textId="4E6C650A" w:rsidR="00922602" w:rsidRPr="006A1B4F" w:rsidRDefault="00390277" w:rsidP="00390277">
            <w:pPr>
              <w:pStyle w:val="10"/>
              <w:pBdr>
                <w:top w:val="nil"/>
                <w:left w:val="nil"/>
                <w:bottom w:val="nil"/>
                <w:right w:val="nil"/>
                <w:between w:val="nil"/>
              </w:pBdr>
              <w:tabs>
                <w:tab w:val="left" w:pos="1169"/>
              </w:tabs>
              <w:jc w:val="center"/>
              <w:rPr>
                <w:rFonts w:asciiTheme="majorBidi" w:eastAsia="Times New Roman" w:hAnsiTheme="majorBidi" w:cstheme="majorBidi"/>
                <w:color w:val="000000"/>
                <w:highlight w:val="yellow"/>
              </w:rPr>
            </w:pPr>
            <w:r w:rsidRPr="006A1B4F">
              <w:rPr>
                <w:rFonts w:asciiTheme="majorBidi" w:hAnsiTheme="majorBidi" w:cstheme="majorBidi"/>
                <w:color w:val="14171A"/>
                <w:shd w:val="clear" w:color="auto" w:fill="FFFFFF"/>
              </w:rPr>
              <w:t>Я</w:t>
            </w:r>
            <w:r w:rsidRPr="006A1B4F">
              <w:rPr>
                <w:rFonts w:asciiTheme="majorBidi" w:hAnsiTheme="majorBidi" w:cstheme="majorBidi"/>
                <w:color w:val="14171A"/>
                <w:shd w:val="clear" w:color="auto" w:fill="FFFFFF"/>
              </w:rPr>
              <w:t>кщо представницький орган місцевого самоврядування при визначенні розміру орендної плати буде керуватись Методикою № 630, це унеможливить встановлення річної орендної плати за оренду нерухомого майна у розмірі 1 гривні для закладів</w:t>
            </w:r>
            <w:r w:rsidR="008B62C4" w:rsidRPr="006A1B4F">
              <w:rPr>
                <w:rFonts w:asciiTheme="majorBidi" w:hAnsiTheme="majorBidi" w:cstheme="majorBidi"/>
                <w:color w:val="14171A"/>
                <w:shd w:val="clear" w:color="auto" w:fill="FFFFFF"/>
              </w:rPr>
              <w:t>, організацій, підприємств</w:t>
            </w:r>
            <w:r w:rsidRPr="006A1B4F">
              <w:rPr>
                <w:rFonts w:asciiTheme="majorBidi" w:hAnsiTheme="majorBidi" w:cstheme="majorBidi"/>
                <w:color w:val="14171A"/>
                <w:shd w:val="clear" w:color="auto" w:fill="FFFFFF"/>
              </w:rPr>
              <w:t xml:space="preserve"> та установ, які повністю фінансуються з бюджету територіальної громади</w:t>
            </w:r>
            <w:r w:rsidR="008B62C4" w:rsidRPr="006A1B4F">
              <w:rPr>
                <w:rFonts w:asciiTheme="majorBidi" w:hAnsiTheme="majorBidi" w:cstheme="majorBidi"/>
                <w:color w:val="14171A"/>
                <w:shd w:val="clear" w:color="auto" w:fill="FFFFFF"/>
              </w:rPr>
              <w:t>, що призводить до нераціонального розподілу бюджетних коштів.</w:t>
            </w:r>
          </w:p>
        </w:tc>
      </w:tr>
      <w:tr w:rsidR="00922602" w:rsidRPr="006A1B4F" w14:paraId="44BC413C" w14:textId="77777777" w:rsidTr="00AB5A6D">
        <w:trPr>
          <w:cantSplit/>
          <w:tblHeader/>
        </w:trPr>
        <w:tc>
          <w:tcPr>
            <w:tcW w:w="2017" w:type="dxa"/>
          </w:tcPr>
          <w:p w14:paraId="7833D26F" w14:textId="77777777" w:rsidR="00922602" w:rsidRPr="006A1B4F" w:rsidRDefault="00312A85" w:rsidP="001B12B1">
            <w:pPr>
              <w:pStyle w:val="10"/>
              <w:pBdr>
                <w:top w:val="nil"/>
                <w:left w:val="nil"/>
                <w:bottom w:val="nil"/>
                <w:right w:val="nil"/>
                <w:between w:val="nil"/>
              </w:pBdr>
              <w:tabs>
                <w:tab w:val="left" w:pos="1169"/>
              </w:tabs>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2</w:t>
            </w:r>
          </w:p>
        </w:tc>
        <w:tc>
          <w:tcPr>
            <w:tcW w:w="4254" w:type="dxa"/>
          </w:tcPr>
          <w:p w14:paraId="771CE2A2" w14:textId="77777777" w:rsidR="00922602" w:rsidRPr="006A1B4F" w:rsidRDefault="00312A85" w:rsidP="00115950">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Чіткі вимоги до оформлення договірних відносин у сфері оренди майна для кожного окремого виду використання майна у відповідності до вимог нового Закону України «Про оренду державного та комунального майна».</w:t>
            </w:r>
          </w:p>
          <w:p w14:paraId="43630E51" w14:textId="00183DFE" w:rsidR="00922602" w:rsidRPr="006A1B4F" w:rsidRDefault="00312A85" w:rsidP="00115950">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Можливість встановлення</w:t>
            </w:r>
            <w:r w:rsidR="008B62C4" w:rsidRPr="006A1B4F">
              <w:rPr>
                <w:rFonts w:asciiTheme="majorBidi" w:eastAsia="Times New Roman" w:hAnsiTheme="majorBidi" w:cstheme="majorBidi"/>
                <w:color w:val="000000"/>
              </w:rPr>
              <w:t xml:space="preserve"> пільгової</w:t>
            </w:r>
            <w:r w:rsidRPr="006A1B4F">
              <w:rPr>
                <w:rFonts w:asciiTheme="majorBidi" w:eastAsia="Times New Roman" w:hAnsiTheme="majorBidi" w:cstheme="majorBidi"/>
                <w:color w:val="000000"/>
              </w:rPr>
              <w:t xml:space="preserve"> річної орендної плати для виконавчих органів місцевого самоврядування, інших бюджетних організацій, закладів, установ, які повністю фінансуються з місцевого бюджету</w:t>
            </w:r>
            <w:r w:rsidR="00115950" w:rsidRPr="006A1B4F">
              <w:rPr>
                <w:rFonts w:asciiTheme="majorBidi" w:eastAsia="Times New Roman" w:hAnsiTheme="majorBidi" w:cstheme="majorBidi"/>
                <w:color w:val="000000"/>
              </w:rPr>
              <w:t>.</w:t>
            </w:r>
          </w:p>
          <w:p w14:paraId="2A2F59DD" w14:textId="2BCBC576" w:rsidR="00115950" w:rsidRPr="006A1B4F" w:rsidRDefault="00115950" w:rsidP="00115950">
            <w:pPr>
              <w:pStyle w:val="10"/>
              <w:pBdr>
                <w:top w:val="nil"/>
                <w:left w:val="nil"/>
                <w:bottom w:val="nil"/>
                <w:right w:val="nil"/>
                <w:between w:val="nil"/>
              </w:pBdr>
              <w:tabs>
                <w:tab w:val="left" w:pos="1169"/>
              </w:tabs>
              <w:jc w:val="center"/>
              <w:rPr>
                <w:rFonts w:asciiTheme="majorBidi" w:eastAsia="Times New Roman" w:hAnsiTheme="majorBidi" w:cstheme="majorBidi"/>
                <w:color w:val="000000"/>
              </w:rPr>
            </w:pPr>
          </w:p>
        </w:tc>
        <w:tc>
          <w:tcPr>
            <w:tcW w:w="3366" w:type="dxa"/>
          </w:tcPr>
          <w:p w14:paraId="7597343F" w14:textId="3AB5CE55" w:rsidR="00922602" w:rsidRPr="006A1B4F" w:rsidRDefault="00C03213" w:rsidP="00766082">
            <w:pPr>
              <w:pStyle w:val="10"/>
              <w:pBdr>
                <w:top w:val="nil"/>
                <w:left w:val="nil"/>
                <w:bottom w:val="nil"/>
                <w:right w:val="nil"/>
                <w:between w:val="nil"/>
              </w:pBdr>
              <w:shd w:val="clear" w:color="auto" w:fill="FFFFFF" w:themeFill="background1"/>
              <w:tabs>
                <w:tab w:val="left" w:pos="1169"/>
              </w:tabs>
              <w:jc w:val="center"/>
              <w:rPr>
                <w:rFonts w:asciiTheme="majorBidi" w:eastAsia="Times New Roman" w:hAnsiTheme="majorBidi" w:cstheme="majorBidi"/>
                <w:color w:val="000000"/>
              </w:rPr>
            </w:pPr>
            <w:r w:rsidRPr="006A1B4F">
              <w:rPr>
                <w:rFonts w:asciiTheme="majorBidi" w:eastAsia="Times New Roman" w:hAnsiTheme="majorBidi" w:cstheme="majorBidi"/>
              </w:rPr>
              <w:t>Відсутні</w:t>
            </w:r>
          </w:p>
        </w:tc>
      </w:tr>
    </w:tbl>
    <w:p w14:paraId="25DA7D9C" w14:textId="77777777" w:rsidR="00115950" w:rsidRPr="006A1B4F" w:rsidRDefault="00115950" w:rsidP="001B12B1">
      <w:pPr>
        <w:pStyle w:val="10"/>
        <w:pBdr>
          <w:top w:val="nil"/>
          <w:left w:val="nil"/>
          <w:bottom w:val="nil"/>
          <w:right w:val="nil"/>
          <w:between w:val="nil"/>
        </w:pBdr>
        <w:tabs>
          <w:tab w:val="left" w:pos="1169"/>
        </w:tabs>
        <w:ind w:firstLine="822"/>
        <w:jc w:val="both"/>
        <w:rPr>
          <w:rFonts w:asciiTheme="majorBidi" w:eastAsia="Times New Roman" w:hAnsiTheme="majorBidi" w:cstheme="majorBidi"/>
          <w:color w:val="000000"/>
        </w:rPr>
      </w:pPr>
    </w:p>
    <w:p w14:paraId="051F6774" w14:textId="30AA97D6" w:rsidR="00922602" w:rsidRPr="006A1B4F" w:rsidRDefault="00312A85" w:rsidP="001B12B1">
      <w:pPr>
        <w:pStyle w:val="10"/>
        <w:pBdr>
          <w:top w:val="nil"/>
          <w:left w:val="nil"/>
          <w:bottom w:val="nil"/>
          <w:right w:val="nil"/>
          <w:between w:val="nil"/>
        </w:pBdr>
        <w:tabs>
          <w:tab w:val="left" w:pos="1169"/>
        </w:tabs>
        <w:ind w:firstLine="82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Регуляторний акт захищає інтереси як територіальної громади, так і суспільства, оскільки забезпечується ефективне використання комунального майна, прямим результатом чого є </w:t>
      </w:r>
      <w:r w:rsidR="00C03213" w:rsidRPr="006A1B4F">
        <w:rPr>
          <w:rFonts w:asciiTheme="majorBidi" w:eastAsia="Times New Roman" w:hAnsiTheme="majorBidi" w:cstheme="majorBidi"/>
          <w:color w:val="000000"/>
        </w:rPr>
        <w:t>раціональне використання (розподіл) коштів</w:t>
      </w:r>
      <w:r w:rsidRPr="006A1B4F">
        <w:rPr>
          <w:rFonts w:asciiTheme="majorBidi" w:eastAsia="Times New Roman" w:hAnsiTheme="majorBidi" w:cstheme="majorBidi"/>
          <w:color w:val="000000"/>
        </w:rPr>
        <w:t xml:space="preserve"> місцевого бюджету.</w:t>
      </w:r>
    </w:p>
    <w:p w14:paraId="49C896BE" w14:textId="2F4BE16C" w:rsidR="00BC6DCD" w:rsidRPr="006A1B4F" w:rsidRDefault="00BC6DCD" w:rsidP="001B12B1">
      <w:pPr>
        <w:pStyle w:val="10"/>
        <w:shd w:val="clear" w:color="auto" w:fill="FFFFFF"/>
        <w:jc w:val="center"/>
        <w:rPr>
          <w:rFonts w:asciiTheme="majorBidi" w:eastAsia="Times New Roman" w:hAnsiTheme="majorBidi" w:cstheme="majorBidi"/>
          <w:color w:val="000000"/>
        </w:rPr>
      </w:pPr>
    </w:p>
    <w:p w14:paraId="78D7AB18" w14:textId="77777777" w:rsidR="00922602" w:rsidRPr="006A1B4F" w:rsidRDefault="00312A85" w:rsidP="001B12B1">
      <w:pPr>
        <w:pStyle w:val="10"/>
        <w:shd w:val="clear" w:color="auto" w:fill="FFFFFF"/>
        <w:jc w:val="center"/>
        <w:rPr>
          <w:rFonts w:asciiTheme="majorBidi" w:hAnsiTheme="majorBidi" w:cstheme="majorBidi"/>
        </w:rPr>
      </w:pPr>
      <w:bookmarkStart w:id="6" w:name="tyjcwt" w:colFirst="0" w:colLast="0"/>
      <w:bookmarkEnd w:id="6"/>
      <w:r w:rsidRPr="006A1B4F">
        <w:rPr>
          <w:rFonts w:asciiTheme="majorBidi" w:eastAsia="Times New Roman" w:hAnsiTheme="majorBidi" w:cstheme="majorBidi"/>
          <w:b/>
        </w:rPr>
        <w:t>ІV. Вибір найбільш оптимального альтернативного способу</w:t>
      </w:r>
      <w:bookmarkStart w:id="7" w:name="3dy6vkm" w:colFirst="0" w:colLast="0"/>
      <w:bookmarkEnd w:id="7"/>
      <w:r w:rsidRPr="006A1B4F">
        <w:rPr>
          <w:rFonts w:asciiTheme="majorBidi" w:eastAsia="Times New Roman" w:hAnsiTheme="majorBidi" w:cstheme="majorBidi"/>
          <w:b/>
        </w:rPr>
        <w:t xml:space="preserve"> досягнення цілей</w:t>
      </w:r>
    </w:p>
    <w:p w14:paraId="04CBB71A" w14:textId="77777777" w:rsidR="00922602" w:rsidRPr="006A1B4F" w:rsidRDefault="00922602" w:rsidP="001B12B1">
      <w:pPr>
        <w:pStyle w:val="10"/>
        <w:shd w:val="clear" w:color="auto" w:fill="FFFFFF"/>
        <w:jc w:val="center"/>
        <w:rPr>
          <w:rFonts w:asciiTheme="majorBidi" w:hAnsiTheme="majorBidi" w:cstheme="majorBidi"/>
        </w:rPr>
      </w:pPr>
    </w:p>
    <w:p w14:paraId="163C0BD5" w14:textId="7DEE206E"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rPr>
        <w:t xml:space="preserve">За результатами опрацювання альтернативних способів досягнення </w:t>
      </w:r>
      <w:proofErr w:type="spellStart"/>
      <w:r w:rsidR="00A35D25" w:rsidRPr="006A1B4F">
        <w:rPr>
          <w:rFonts w:asciiTheme="majorBidi" w:eastAsia="Times New Roman" w:hAnsiTheme="majorBidi" w:cstheme="majorBidi"/>
        </w:rPr>
        <w:t>Авангардівською</w:t>
      </w:r>
      <w:proofErr w:type="spellEnd"/>
      <w:r w:rsidR="00A35D25" w:rsidRPr="006A1B4F">
        <w:rPr>
          <w:rFonts w:asciiTheme="majorBidi" w:eastAsia="Times New Roman" w:hAnsiTheme="majorBidi" w:cstheme="majorBidi"/>
        </w:rPr>
        <w:t xml:space="preserve"> територіальною громадою </w:t>
      </w:r>
      <w:r w:rsidRPr="006A1B4F">
        <w:rPr>
          <w:rFonts w:asciiTheme="majorBidi" w:eastAsia="Times New Roman" w:hAnsiTheme="majorBidi" w:cstheme="majorBidi"/>
        </w:rPr>
        <w:t>цілей регулювання</w:t>
      </w:r>
      <w:r w:rsidR="00A75CA7" w:rsidRPr="006A1B4F">
        <w:rPr>
          <w:rFonts w:asciiTheme="majorBidi" w:eastAsia="Times New Roman" w:hAnsiTheme="majorBidi" w:cstheme="majorBidi"/>
        </w:rPr>
        <w:t xml:space="preserve">, </w:t>
      </w:r>
      <w:r w:rsidRPr="006A1B4F">
        <w:rPr>
          <w:rFonts w:asciiTheme="majorBidi" w:eastAsia="Times New Roman" w:hAnsiTheme="majorBidi" w:cstheme="majorBidi"/>
        </w:rPr>
        <w:t>здійснено вибір оптимального альтернативного способу з урахуванням системи бальної оцінки ступеня досягнення визначених цілей.</w:t>
      </w:r>
    </w:p>
    <w:tbl>
      <w:tblPr>
        <w:tblStyle w:val="aa"/>
        <w:tblW w:w="9637" w:type="dxa"/>
        <w:jc w:val="center"/>
        <w:tblInd w:w="0" w:type="dxa"/>
        <w:tblLayout w:type="fixed"/>
        <w:tblLook w:val="0400" w:firstRow="0" w:lastRow="0" w:firstColumn="0" w:lastColumn="0" w:noHBand="0" w:noVBand="1"/>
      </w:tblPr>
      <w:tblGrid>
        <w:gridCol w:w="3697"/>
        <w:gridCol w:w="3018"/>
        <w:gridCol w:w="2922"/>
      </w:tblGrid>
      <w:tr w:rsidR="00922602" w:rsidRPr="006A1B4F" w14:paraId="3B09AA85" w14:textId="77777777">
        <w:trPr>
          <w:cantSplit/>
          <w:tblHeader/>
          <w:jc w:val="center"/>
        </w:trPr>
        <w:tc>
          <w:tcPr>
            <w:tcW w:w="3697" w:type="dxa"/>
            <w:tcBorders>
              <w:top w:val="single" w:sz="4" w:space="0" w:color="000000"/>
              <w:left w:val="single" w:sz="4" w:space="0" w:color="000000"/>
              <w:bottom w:val="single" w:sz="4" w:space="0" w:color="000000"/>
              <w:right w:val="single" w:sz="4" w:space="0" w:color="000000"/>
            </w:tcBorders>
            <w:shd w:val="clear" w:color="auto" w:fill="auto"/>
          </w:tcPr>
          <w:p w14:paraId="189EA460"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lastRenderedPageBreak/>
              <w:t>Рейтинг результативності (досягнення цілей під час вирішення проблеми)</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1914C0FB"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Бал результативності (за чотирибальною системою оцінки)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14:paraId="4C3C294F"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 xml:space="preserve">Коментарі щодо присвоєння відповідного </w:t>
            </w:r>
            <w:proofErr w:type="spellStart"/>
            <w:r w:rsidRPr="006A1B4F">
              <w:rPr>
                <w:rFonts w:asciiTheme="majorBidi" w:eastAsia="Times New Roman" w:hAnsiTheme="majorBidi" w:cstheme="majorBidi"/>
                <w:color w:val="000000"/>
              </w:rPr>
              <w:t>бала</w:t>
            </w:r>
            <w:proofErr w:type="spellEnd"/>
          </w:p>
        </w:tc>
      </w:tr>
      <w:tr w:rsidR="00922602" w:rsidRPr="006A1B4F" w14:paraId="5480598D" w14:textId="77777777">
        <w:trPr>
          <w:cantSplit/>
          <w:tblHeader/>
          <w:jc w:val="center"/>
        </w:trPr>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7C97" w14:textId="77777777" w:rsidR="00922602" w:rsidRPr="006A1B4F" w:rsidRDefault="00312A85" w:rsidP="00454624">
            <w:pPr>
              <w:pStyle w:val="10"/>
              <w:jc w:val="center"/>
              <w:rPr>
                <w:rFonts w:asciiTheme="majorBidi" w:hAnsiTheme="majorBidi" w:cstheme="majorBidi"/>
              </w:rPr>
            </w:pPr>
            <w:r w:rsidRPr="006A1B4F">
              <w:rPr>
                <w:rFonts w:asciiTheme="majorBidi" w:eastAsia="Times New Roman" w:hAnsiTheme="majorBidi" w:cstheme="majorBidi"/>
                <w:color w:val="000000"/>
              </w:rPr>
              <w:t>Альтернатива 1</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A99D" w14:textId="77777777" w:rsidR="00922602" w:rsidRPr="006A1B4F" w:rsidRDefault="00312A85" w:rsidP="00454624">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2</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B025" w14:textId="77777777" w:rsidR="00922602" w:rsidRPr="006A1B4F" w:rsidRDefault="00312A85" w:rsidP="00454624">
            <w:pPr>
              <w:pStyle w:val="10"/>
              <w:jc w:val="center"/>
              <w:rPr>
                <w:rFonts w:asciiTheme="majorBidi" w:hAnsiTheme="majorBidi" w:cstheme="majorBidi"/>
              </w:rPr>
            </w:pPr>
            <w:r w:rsidRPr="006A1B4F">
              <w:rPr>
                <w:rFonts w:asciiTheme="majorBidi" w:eastAsia="Times New Roman" w:hAnsiTheme="majorBidi" w:cstheme="majorBidi"/>
                <w:color w:val="000000"/>
              </w:rPr>
              <w:t>Не досягаються цілі регулювання</w:t>
            </w:r>
          </w:p>
        </w:tc>
      </w:tr>
      <w:tr w:rsidR="00922602" w:rsidRPr="006A1B4F" w14:paraId="4639DA83" w14:textId="77777777">
        <w:trPr>
          <w:cantSplit/>
          <w:tblHeader/>
          <w:jc w:val="center"/>
        </w:trPr>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5575" w14:textId="77777777" w:rsidR="00922602" w:rsidRPr="006A1B4F" w:rsidRDefault="00312A85" w:rsidP="00454624">
            <w:pPr>
              <w:pStyle w:val="10"/>
              <w:jc w:val="center"/>
              <w:rPr>
                <w:rFonts w:asciiTheme="majorBidi" w:hAnsiTheme="majorBidi" w:cstheme="majorBidi"/>
              </w:rPr>
            </w:pPr>
            <w:r w:rsidRPr="006A1B4F">
              <w:rPr>
                <w:rFonts w:asciiTheme="majorBidi" w:eastAsia="Times New Roman" w:hAnsiTheme="majorBidi" w:cstheme="majorBidi"/>
                <w:color w:val="000000"/>
              </w:rPr>
              <w:t>Альтернатива 2</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3E2D" w14:textId="77777777" w:rsidR="00922602" w:rsidRPr="006A1B4F" w:rsidRDefault="00312A85" w:rsidP="00454624">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4</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0191" w14:textId="095D1B96" w:rsidR="00922602" w:rsidRPr="006A1B4F" w:rsidRDefault="00312A85" w:rsidP="00454624">
            <w:pPr>
              <w:pStyle w:val="10"/>
              <w:jc w:val="center"/>
              <w:rPr>
                <w:rFonts w:asciiTheme="majorBidi" w:hAnsiTheme="majorBidi" w:cstheme="majorBidi"/>
              </w:rPr>
            </w:pPr>
            <w:r w:rsidRPr="006A1B4F">
              <w:rPr>
                <w:rFonts w:asciiTheme="majorBidi" w:eastAsia="Times New Roman" w:hAnsiTheme="majorBidi" w:cstheme="majorBidi"/>
                <w:color w:val="000000"/>
              </w:rPr>
              <w:t xml:space="preserve">Затвердження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 найбільш прийнятним та ефективним способом, який дозволить досягти повною мірою </w:t>
            </w:r>
            <w:proofErr w:type="spellStart"/>
            <w:r w:rsidR="00A75CA7" w:rsidRPr="006A1B4F">
              <w:rPr>
                <w:rFonts w:asciiTheme="majorBidi" w:eastAsia="Times New Roman" w:hAnsiTheme="majorBidi" w:cstheme="majorBidi"/>
                <w:color w:val="000000"/>
              </w:rPr>
              <w:t>Авангардівською</w:t>
            </w:r>
            <w:proofErr w:type="spellEnd"/>
            <w:r w:rsidR="00A75CA7" w:rsidRPr="006A1B4F">
              <w:rPr>
                <w:rFonts w:asciiTheme="majorBidi" w:eastAsia="Times New Roman" w:hAnsiTheme="majorBidi" w:cstheme="majorBidi"/>
                <w:color w:val="000000"/>
              </w:rPr>
              <w:t xml:space="preserve"> територіальною громадою</w:t>
            </w:r>
            <w:r w:rsidRPr="006A1B4F">
              <w:rPr>
                <w:rFonts w:asciiTheme="majorBidi" w:eastAsia="Times New Roman" w:hAnsiTheme="majorBidi" w:cstheme="majorBidi"/>
                <w:color w:val="000000"/>
              </w:rPr>
              <w:t xml:space="preserve"> регулювання</w:t>
            </w:r>
            <w:r w:rsidR="00327E98" w:rsidRPr="006A1B4F">
              <w:rPr>
                <w:rFonts w:asciiTheme="majorBidi" w:eastAsia="Times New Roman" w:hAnsiTheme="majorBidi" w:cstheme="majorBidi"/>
                <w:color w:val="000000"/>
              </w:rPr>
              <w:t xml:space="preserve"> цілі</w:t>
            </w:r>
            <w:r w:rsidRPr="006A1B4F">
              <w:rPr>
                <w:rFonts w:asciiTheme="majorBidi" w:eastAsia="Times New Roman" w:hAnsiTheme="majorBidi" w:cstheme="majorBidi"/>
                <w:color w:val="000000"/>
              </w:rPr>
              <w:t>, визначеної у розділі ІІ цього аналізу регуляторного впливу.</w:t>
            </w:r>
          </w:p>
        </w:tc>
      </w:tr>
    </w:tbl>
    <w:p w14:paraId="47ACA515" w14:textId="550D5094" w:rsidR="00922602" w:rsidRPr="006A1B4F" w:rsidRDefault="00312A85" w:rsidP="001B12B1">
      <w:pPr>
        <w:pStyle w:val="10"/>
        <w:pBdr>
          <w:top w:val="nil"/>
          <w:left w:val="nil"/>
          <w:bottom w:val="nil"/>
          <w:right w:val="nil"/>
          <w:between w:val="nil"/>
        </w:pBdr>
        <w:shd w:val="clear" w:color="auto" w:fill="FFFFFF"/>
        <w:ind w:firstLine="82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Обраний спосіб відповідає чинному законодавству, зокрема, Закону України «Про місцеве самоврядування в Україні», Закону України «Про оренду державного та комунального майна», а також постанові Кабінету Міністрів України від 03 червня 2020 року № 483 «Деякі питання оренди державного та комунального майна»</w:t>
      </w:r>
      <w:r w:rsidR="00115950" w:rsidRPr="006A1B4F">
        <w:rPr>
          <w:rFonts w:asciiTheme="majorBidi" w:eastAsia="Times New Roman" w:hAnsiTheme="majorBidi" w:cstheme="majorBidi"/>
          <w:color w:val="000000"/>
        </w:rPr>
        <w:t xml:space="preserve"> та рішенню Авангардівської селищної ради № 1571-VII від 13.08.2020 р. «Про затвердження Положення про оренду майна комунальної власності Авангардівської селищної ради».</w:t>
      </w:r>
    </w:p>
    <w:tbl>
      <w:tblPr>
        <w:tblStyle w:val="ab"/>
        <w:tblW w:w="9636" w:type="dxa"/>
        <w:tblInd w:w="-15" w:type="dxa"/>
        <w:tblLayout w:type="fixed"/>
        <w:tblLook w:val="0400" w:firstRow="0" w:lastRow="0" w:firstColumn="0" w:lastColumn="0" w:noHBand="0" w:noVBand="1"/>
      </w:tblPr>
      <w:tblGrid>
        <w:gridCol w:w="2434"/>
        <w:gridCol w:w="2043"/>
        <w:gridCol w:w="1946"/>
        <w:gridCol w:w="3213"/>
      </w:tblGrid>
      <w:tr w:rsidR="00922602" w:rsidRPr="006A1B4F" w14:paraId="606C59D7" w14:textId="77777777">
        <w:trPr>
          <w:cantSplit/>
          <w:tblHeader/>
        </w:trPr>
        <w:tc>
          <w:tcPr>
            <w:tcW w:w="2434" w:type="dxa"/>
            <w:tcBorders>
              <w:top w:val="single" w:sz="4" w:space="0" w:color="000000"/>
              <w:left w:val="single" w:sz="4" w:space="0" w:color="000000"/>
              <w:bottom w:val="single" w:sz="4" w:space="0" w:color="000000"/>
              <w:right w:val="single" w:sz="4" w:space="0" w:color="000000"/>
            </w:tcBorders>
          </w:tcPr>
          <w:p w14:paraId="4545E4EE"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lastRenderedPageBreak/>
              <w:t>Рейтинг результативності</w:t>
            </w:r>
          </w:p>
        </w:tc>
        <w:tc>
          <w:tcPr>
            <w:tcW w:w="2043" w:type="dxa"/>
            <w:tcBorders>
              <w:top w:val="single" w:sz="4" w:space="0" w:color="000000"/>
              <w:left w:val="single" w:sz="4" w:space="0" w:color="000000"/>
              <w:bottom w:val="single" w:sz="4" w:space="0" w:color="000000"/>
              <w:right w:val="single" w:sz="4" w:space="0" w:color="000000"/>
            </w:tcBorders>
          </w:tcPr>
          <w:p w14:paraId="256C512F"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Вигоди (підсумок)</w:t>
            </w:r>
          </w:p>
        </w:tc>
        <w:tc>
          <w:tcPr>
            <w:tcW w:w="1946" w:type="dxa"/>
            <w:tcBorders>
              <w:top w:val="single" w:sz="4" w:space="0" w:color="000000"/>
              <w:left w:val="single" w:sz="4" w:space="0" w:color="000000"/>
              <w:bottom w:val="single" w:sz="4" w:space="0" w:color="000000"/>
              <w:right w:val="single" w:sz="4" w:space="0" w:color="000000"/>
            </w:tcBorders>
          </w:tcPr>
          <w:p w14:paraId="47733FEE"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Витрати (підсумок)</w:t>
            </w:r>
          </w:p>
        </w:tc>
        <w:tc>
          <w:tcPr>
            <w:tcW w:w="3213" w:type="dxa"/>
            <w:tcBorders>
              <w:top w:val="single" w:sz="4" w:space="0" w:color="000000"/>
              <w:left w:val="single" w:sz="4" w:space="0" w:color="000000"/>
              <w:bottom w:val="single" w:sz="4" w:space="0" w:color="000000"/>
              <w:right w:val="single" w:sz="4" w:space="0" w:color="000000"/>
            </w:tcBorders>
          </w:tcPr>
          <w:p w14:paraId="2B686EB8"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Обґрунтування відповідного місця альтернативи у рейтингу</w:t>
            </w:r>
          </w:p>
        </w:tc>
      </w:tr>
      <w:tr w:rsidR="00175FB1" w:rsidRPr="006A1B4F" w14:paraId="3A3C3300" w14:textId="77777777">
        <w:trPr>
          <w:cantSplit/>
          <w:tblHeader/>
        </w:trPr>
        <w:tc>
          <w:tcPr>
            <w:tcW w:w="2434" w:type="dxa"/>
            <w:tcBorders>
              <w:top w:val="single" w:sz="4" w:space="0" w:color="000000"/>
              <w:left w:val="single" w:sz="4" w:space="0" w:color="000000"/>
              <w:bottom w:val="single" w:sz="4" w:space="0" w:color="000000"/>
              <w:right w:val="single" w:sz="4" w:space="0" w:color="000000"/>
            </w:tcBorders>
          </w:tcPr>
          <w:p w14:paraId="3E0ECF8E" w14:textId="78F83DDF"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1</w:t>
            </w:r>
          </w:p>
        </w:tc>
        <w:tc>
          <w:tcPr>
            <w:tcW w:w="2043" w:type="dxa"/>
            <w:tcBorders>
              <w:top w:val="single" w:sz="4" w:space="0" w:color="000000"/>
              <w:left w:val="single" w:sz="4" w:space="0" w:color="000000"/>
              <w:bottom w:val="single" w:sz="4" w:space="0" w:color="000000"/>
              <w:right w:val="single" w:sz="4" w:space="0" w:color="000000"/>
            </w:tcBorders>
          </w:tcPr>
          <w:p w14:paraId="593D461D" w14:textId="51F0F573"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У разі залишення існуючої на даний момент ситуації без змін, вигоди для </w:t>
            </w:r>
            <w:r w:rsidR="00327E98" w:rsidRPr="006A1B4F">
              <w:rPr>
                <w:rFonts w:asciiTheme="majorBidi" w:eastAsia="Times New Roman" w:hAnsiTheme="majorBidi" w:cstheme="majorBidi"/>
                <w:color w:val="000000"/>
              </w:rPr>
              <w:t>органів місцевого самоврядування</w:t>
            </w:r>
            <w:r w:rsidR="00A75CA7"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та суб’єктів господарювання відсутні.</w:t>
            </w:r>
          </w:p>
        </w:tc>
        <w:tc>
          <w:tcPr>
            <w:tcW w:w="1946" w:type="dxa"/>
            <w:tcBorders>
              <w:top w:val="single" w:sz="4" w:space="0" w:color="000000"/>
              <w:left w:val="single" w:sz="4" w:space="0" w:color="000000"/>
              <w:bottom w:val="single" w:sz="4" w:space="0" w:color="000000"/>
              <w:right w:val="single" w:sz="4" w:space="0" w:color="000000"/>
            </w:tcBorders>
          </w:tcPr>
          <w:p w14:paraId="1EB7A3F9" w14:textId="1E7A99B2"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Не враховано особливості передачі в оренду майна Авангардівської селищної територіальної громади </w:t>
            </w:r>
          </w:p>
        </w:tc>
        <w:tc>
          <w:tcPr>
            <w:tcW w:w="3213" w:type="dxa"/>
            <w:tcBorders>
              <w:top w:val="single" w:sz="4" w:space="0" w:color="000000"/>
              <w:left w:val="single" w:sz="4" w:space="0" w:color="000000"/>
              <w:bottom w:val="single" w:sz="4" w:space="0" w:color="000000"/>
              <w:right w:val="single" w:sz="4" w:space="0" w:color="000000"/>
            </w:tcBorders>
          </w:tcPr>
          <w:p w14:paraId="061A4E58" w14:textId="606714D5"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Визначена проблема продовжує існувати і не може бути розв’язана оскільки застосування Методики розрахунку орендної плати за державне майно, затвердженої Постановою Кабінету Міністрів України від 28 квітня 2021 року № 630, не дає змоги досягнути цілі регулювання, визначеної у розділі ІІ цього аналізу регуляторного впливу.</w:t>
            </w:r>
          </w:p>
        </w:tc>
      </w:tr>
      <w:tr w:rsidR="00175FB1" w:rsidRPr="006A1B4F" w14:paraId="010034CE" w14:textId="77777777" w:rsidTr="00175FB1">
        <w:trPr>
          <w:cantSplit/>
          <w:tblHeader/>
        </w:trPr>
        <w:tc>
          <w:tcPr>
            <w:tcW w:w="2434" w:type="dxa"/>
            <w:tcBorders>
              <w:top w:val="single" w:sz="4" w:space="0" w:color="000000"/>
              <w:left w:val="single" w:sz="4" w:space="0" w:color="000000"/>
              <w:bottom w:val="single" w:sz="4" w:space="0" w:color="000000"/>
              <w:right w:val="single" w:sz="4" w:space="0" w:color="000000"/>
            </w:tcBorders>
          </w:tcPr>
          <w:p w14:paraId="72AE7592" w14:textId="4EFEEF27"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Альтернатива 2</w:t>
            </w:r>
          </w:p>
        </w:tc>
        <w:tc>
          <w:tcPr>
            <w:tcW w:w="2043" w:type="dxa"/>
            <w:tcBorders>
              <w:top w:val="single" w:sz="4" w:space="0" w:color="000000"/>
              <w:left w:val="single" w:sz="4" w:space="0" w:color="000000"/>
              <w:bottom w:val="single" w:sz="4" w:space="0" w:color="000000"/>
              <w:right w:val="single" w:sz="4" w:space="0" w:color="000000"/>
            </w:tcBorders>
          </w:tcPr>
          <w:p w14:paraId="25297E6A" w14:textId="77777777" w:rsidR="00175FB1" w:rsidRPr="006A1B4F" w:rsidRDefault="00175FB1" w:rsidP="00175FB1">
            <w:pPr>
              <w:pStyle w:val="10"/>
              <w:jc w:val="center"/>
              <w:rPr>
                <w:rFonts w:asciiTheme="majorBidi" w:hAnsiTheme="majorBidi" w:cstheme="majorBidi"/>
              </w:rPr>
            </w:pPr>
            <w:r w:rsidRPr="006A1B4F">
              <w:rPr>
                <w:rFonts w:asciiTheme="majorBidi" w:eastAsia="Times New Roman" w:hAnsiTheme="majorBidi" w:cstheme="majorBidi"/>
                <w:color w:val="000000"/>
              </w:rPr>
              <w:t>Забезпечено виконання вимог Закону України від 03 жовтня 2019 року № 157-ІХ «Про оренду державного і комунального майна», відповідно до якого Методика затверджується представницьким органом місцевого самоврядування.</w:t>
            </w:r>
          </w:p>
          <w:p w14:paraId="43E37AC7" w14:textId="77777777" w:rsidR="00175FB1" w:rsidRPr="006A1B4F" w:rsidRDefault="00175FB1" w:rsidP="00175FB1">
            <w:pPr>
              <w:pStyle w:val="10"/>
              <w:jc w:val="center"/>
              <w:rPr>
                <w:rFonts w:asciiTheme="majorBidi" w:hAnsiTheme="majorBidi" w:cstheme="majorBidi"/>
              </w:rPr>
            </w:pPr>
            <w:r w:rsidRPr="006A1B4F">
              <w:rPr>
                <w:rFonts w:asciiTheme="majorBidi" w:eastAsia="Times New Roman" w:hAnsiTheme="majorBidi" w:cstheme="majorBidi"/>
                <w:color w:val="000000"/>
              </w:rPr>
              <w:t>Встановлено єдині вимоги щодо розрахунку орендної плати.</w:t>
            </w:r>
          </w:p>
          <w:p w14:paraId="29E1676A" w14:textId="08EA0F12"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Наявність єдиних вимог до оформлення договірних відносин у сфері оренди майна для кожного окремого виду використання майна.</w:t>
            </w:r>
          </w:p>
        </w:tc>
        <w:tc>
          <w:tcPr>
            <w:tcW w:w="1946" w:type="dxa"/>
            <w:tcBorders>
              <w:top w:val="single" w:sz="4" w:space="0" w:color="000000"/>
              <w:left w:val="single" w:sz="4" w:space="0" w:color="000000"/>
              <w:bottom w:val="single" w:sz="4" w:space="0" w:color="000000"/>
              <w:right w:val="single" w:sz="4" w:space="0" w:color="000000"/>
            </w:tcBorders>
          </w:tcPr>
          <w:p w14:paraId="47490D46" w14:textId="284D0347" w:rsidR="00175FB1" w:rsidRPr="006A1B4F" w:rsidRDefault="00C5702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У разі прийняття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для держави, </w:t>
            </w:r>
            <w:r w:rsidR="00327E98" w:rsidRPr="006A1B4F">
              <w:rPr>
                <w:rFonts w:asciiTheme="majorBidi" w:eastAsia="Times New Roman" w:hAnsiTheme="majorBidi" w:cstheme="majorBidi"/>
                <w:color w:val="000000"/>
              </w:rPr>
              <w:t xml:space="preserve">громади, </w:t>
            </w:r>
            <w:r w:rsidRPr="006A1B4F">
              <w:rPr>
                <w:rFonts w:asciiTheme="majorBidi" w:eastAsia="Times New Roman" w:hAnsiTheme="majorBidi" w:cstheme="majorBidi"/>
                <w:color w:val="000000"/>
              </w:rPr>
              <w:t>громадян та суб’єктів господарювання відсутні.</w:t>
            </w:r>
          </w:p>
        </w:tc>
        <w:tc>
          <w:tcPr>
            <w:tcW w:w="3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E9017" w14:textId="153E595C" w:rsidR="00175FB1" w:rsidRPr="006A1B4F" w:rsidRDefault="00175FB1" w:rsidP="00175FB1">
            <w:pPr>
              <w:pStyle w:val="10"/>
              <w:jc w:val="center"/>
              <w:rPr>
                <w:rFonts w:asciiTheme="majorBidi" w:hAnsiTheme="majorBidi" w:cstheme="majorBidi"/>
              </w:rPr>
            </w:pPr>
            <w:r w:rsidRPr="006A1B4F">
              <w:rPr>
                <w:rFonts w:asciiTheme="majorBidi" w:eastAsia="Times New Roman" w:hAnsiTheme="majorBidi" w:cstheme="majorBidi"/>
                <w:color w:val="000000"/>
              </w:rPr>
              <w:t xml:space="preserve">Затвердження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 найбільш прийнятним та ефективним способом, який і дозволить досягти повною мірою цілі регулювання</w:t>
            </w:r>
            <w:r w:rsidR="00A35D25" w:rsidRPr="006A1B4F">
              <w:rPr>
                <w:rFonts w:asciiTheme="majorBidi" w:eastAsia="Times New Roman" w:hAnsiTheme="majorBidi" w:cstheme="majorBidi"/>
                <w:color w:val="000000"/>
              </w:rPr>
              <w:t xml:space="preserve"> </w:t>
            </w:r>
            <w:proofErr w:type="spellStart"/>
            <w:r w:rsidR="00A35D25" w:rsidRPr="006A1B4F">
              <w:rPr>
                <w:rFonts w:asciiTheme="majorBidi" w:eastAsia="Times New Roman" w:hAnsiTheme="majorBidi" w:cstheme="majorBidi"/>
                <w:color w:val="000000"/>
              </w:rPr>
              <w:t>Авангардівською</w:t>
            </w:r>
            <w:proofErr w:type="spellEnd"/>
            <w:r w:rsidR="00A35D25" w:rsidRPr="006A1B4F">
              <w:rPr>
                <w:rFonts w:asciiTheme="majorBidi" w:eastAsia="Times New Roman" w:hAnsiTheme="majorBidi" w:cstheme="majorBidi"/>
                <w:color w:val="000000"/>
              </w:rPr>
              <w:t xml:space="preserve"> територіальною громадою </w:t>
            </w:r>
            <w:r w:rsidRPr="006A1B4F">
              <w:rPr>
                <w:rFonts w:asciiTheme="majorBidi" w:eastAsia="Times New Roman" w:hAnsiTheme="majorBidi" w:cstheme="majorBidi"/>
                <w:color w:val="000000"/>
              </w:rPr>
              <w:t>, визначеної у розділі ІІ цього аналізу регуляторного впливу.</w:t>
            </w:r>
          </w:p>
          <w:p w14:paraId="6BDA97D9" w14:textId="77777777" w:rsidR="00175FB1" w:rsidRPr="006A1B4F" w:rsidRDefault="00175FB1" w:rsidP="00175FB1">
            <w:pPr>
              <w:pStyle w:val="10"/>
              <w:jc w:val="center"/>
              <w:rPr>
                <w:rFonts w:asciiTheme="majorBidi" w:eastAsia="Times New Roman" w:hAnsiTheme="majorBidi" w:cstheme="majorBidi"/>
                <w:color w:val="000000"/>
              </w:rPr>
            </w:pPr>
          </w:p>
          <w:p w14:paraId="588F0002" w14:textId="3C004356" w:rsidR="00175FB1" w:rsidRPr="006A1B4F" w:rsidRDefault="00175FB1" w:rsidP="00175FB1">
            <w:pPr>
              <w:pStyle w:val="10"/>
              <w:jc w:val="center"/>
              <w:rPr>
                <w:rFonts w:asciiTheme="majorBidi" w:eastAsia="Times New Roman" w:hAnsiTheme="majorBidi" w:cstheme="majorBidi"/>
                <w:color w:val="000000"/>
              </w:rPr>
            </w:pPr>
            <w:r w:rsidRPr="006A1B4F">
              <w:rPr>
                <w:rFonts w:asciiTheme="majorBidi" w:eastAsia="Times New Roman" w:hAnsiTheme="majorBidi" w:cstheme="majorBidi"/>
                <w:color w:val="000000"/>
              </w:rPr>
              <w:t>Оптимальний варіант збалансування інтересів органу місцевого самоврядування та суб’єктів господарювання.</w:t>
            </w:r>
          </w:p>
        </w:tc>
      </w:tr>
    </w:tbl>
    <w:tbl>
      <w:tblPr>
        <w:tblStyle w:val="ac"/>
        <w:tblW w:w="9637" w:type="dxa"/>
        <w:tblInd w:w="-15" w:type="dxa"/>
        <w:tblLayout w:type="fixed"/>
        <w:tblLook w:val="0400" w:firstRow="0" w:lastRow="0" w:firstColumn="0" w:lastColumn="0" w:noHBand="0" w:noVBand="1"/>
      </w:tblPr>
      <w:tblGrid>
        <w:gridCol w:w="2238"/>
        <w:gridCol w:w="4186"/>
        <w:gridCol w:w="3213"/>
      </w:tblGrid>
      <w:tr w:rsidR="00922602" w:rsidRPr="006A1B4F" w14:paraId="30785393" w14:textId="77777777">
        <w:trPr>
          <w:cantSplit/>
          <w:tblHeader/>
        </w:trPr>
        <w:tc>
          <w:tcPr>
            <w:tcW w:w="2238" w:type="dxa"/>
            <w:tcBorders>
              <w:top w:val="single" w:sz="4" w:space="0" w:color="000000"/>
              <w:left w:val="single" w:sz="4" w:space="0" w:color="000000"/>
              <w:bottom w:val="single" w:sz="4" w:space="0" w:color="000000"/>
              <w:right w:val="single" w:sz="4" w:space="0" w:color="000000"/>
            </w:tcBorders>
          </w:tcPr>
          <w:p w14:paraId="5CA3F747"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lastRenderedPageBreak/>
              <w:t>Рейтинг</w:t>
            </w:r>
          </w:p>
        </w:tc>
        <w:tc>
          <w:tcPr>
            <w:tcW w:w="4186" w:type="dxa"/>
            <w:tcBorders>
              <w:top w:val="single" w:sz="4" w:space="0" w:color="000000"/>
              <w:left w:val="single" w:sz="4" w:space="0" w:color="000000"/>
              <w:bottom w:val="single" w:sz="4" w:space="0" w:color="000000"/>
              <w:right w:val="single" w:sz="4" w:space="0" w:color="000000"/>
            </w:tcBorders>
          </w:tcPr>
          <w:p w14:paraId="19523FD4"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Аргументи щодо переваги обраної альтернативи/причини відмови від альтернативи</w:t>
            </w:r>
          </w:p>
        </w:tc>
        <w:tc>
          <w:tcPr>
            <w:tcW w:w="3213" w:type="dxa"/>
            <w:tcBorders>
              <w:top w:val="single" w:sz="4" w:space="0" w:color="000000"/>
              <w:left w:val="single" w:sz="4" w:space="0" w:color="000000"/>
              <w:bottom w:val="single" w:sz="4" w:space="0" w:color="000000"/>
              <w:right w:val="single" w:sz="4" w:space="0" w:color="000000"/>
            </w:tcBorders>
          </w:tcPr>
          <w:p w14:paraId="0367641D" w14:textId="77777777" w:rsidR="00922602" w:rsidRPr="006A1B4F" w:rsidRDefault="00312A85" w:rsidP="001B12B1">
            <w:pPr>
              <w:pStyle w:val="10"/>
              <w:jc w:val="center"/>
              <w:rPr>
                <w:rFonts w:asciiTheme="majorBidi" w:hAnsiTheme="majorBidi" w:cstheme="majorBidi"/>
              </w:rPr>
            </w:pPr>
            <w:r w:rsidRPr="006A1B4F">
              <w:rPr>
                <w:rFonts w:asciiTheme="majorBidi" w:eastAsia="Times New Roman" w:hAnsiTheme="majorBidi" w:cstheme="majorBidi"/>
                <w:color w:val="000000"/>
              </w:rPr>
              <w:t xml:space="preserve">Оцінка ризику зовнішніх чинників на дію запропонованого регуляторного </w:t>
            </w:r>
            <w:proofErr w:type="spellStart"/>
            <w:r w:rsidRPr="006A1B4F">
              <w:rPr>
                <w:rFonts w:asciiTheme="majorBidi" w:eastAsia="Times New Roman" w:hAnsiTheme="majorBidi" w:cstheme="majorBidi"/>
                <w:color w:val="000000"/>
              </w:rPr>
              <w:t>акта</w:t>
            </w:r>
            <w:proofErr w:type="spellEnd"/>
          </w:p>
        </w:tc>
      </w:tr>
      <w:tr w:rsidR="00922602" w:rsidRPr="006A1B4F" w14:paraId="1ED03F0C" w14:textId="77777777">
        <w:trPr>
          <w:cantSplit/>
          <w:tblHeader/>
        </w:trPr>
        <w:tc>
          <w:tcPr>
            <w:tcW w:w="2238" w:type="dxa"/>
            <w:tcBorders>
              <w:top w:val="single" w:sz="4" w:space="0" w:color="000000"/>
              <w:left w:val="single" w:sz="4" w:space="0" w:color="000000"/>
              <w:bottom w:val="single" w:sz="4" w:space="0" w:color="000000"/>
              <w:right w:val="single" w:sz="4" w:space="0" w:color="000000"/>
            </w:tcBorders>
          </w:tcPr>
          <w:p w14:paraId="132AFA3C" w14:textId="77777777" w:rsidR="00922602" w:rsidRPr="006A1B4F" w:rsidRDefault="00312A85" w:rsidP="00C57021">
            <w:pPr>
              <w:pStyle w:val="10"/>
              <w:jc w:val="center"/>
              <w:rPr>
                <w:rFonts w:asciiTheme="majorBidi" w:hAnsiTheme="majorBidi" w:cstheme="majorBidi"/>
              </w:rPr>
            </w:pPr>
            <w:r w:rsidRPr="006A1B4F">
              <w:rPr>
                <w:rFonts w:asciiTheme="majorBidi" w:eastAsia="Times New Roman" w:hAnsiTheme="majorBidi" w:cstheme="majorBidi"/>
                <w:color w:val="000000"/>
              </w:rPr>
              <w:t>Альтернатива 1</w:t>
            </w:r>
          </w:p>
        </w:tc>
        <w:tc>
          <w:tcPr>
            <w:tcW w:w="4186" w:type="dxa"/>
            <w:tcBorders>
              <w:top w:val="single" w:sz="4" w:space="0" w:color="000000"/>
              <w:left w:val="single" w:sz="4" w:space="0" w:color="000000"/>
              <w:bottom w:val="single" w:sz="4" w:space="0" w:color="000000"/>
              <w:right w:val="single" w:sz="4" w:space="0" w:color="000000"/>
            </w:tcBorders>
          </w:tcPr>
          <w:p w14:paraId="72CE7C60" w14:textId="77777777" w:rsidR="00922602" w:rsidRPr="006A1B4F" w:rsidRDefault="00312A85" w:rsidP="00C57021">
            <w:pPr>
              <w:pStyle w:val="10"/>
              <w:jc w:val="center"/>
              <w:rPr>
                <w:rFonts w:asciiTheme="majorBidi" w:hAnsiTheme="majorBidi" w:cstheme="majorBidi"/>
              </w:rPr>
            </w:pPr>
            <w:r w:rsidRPr="006A1B4F">
              <w:rPr>
                <w:rFonts w:asciiTheme="majorBidi" w:eastAsia="Times New Roman" w:hAnsiTheme="majorBidi" w:cstheme="majorBidi"/>
                <w:color w:val="000000"/>
              </w:rPr>
              <w:t>Причиною відмови є те, що проблема продовжує існувати і не може бути розв’язана оскільки застосування Методики розрахунку орендної плати за державне майно, затвердженої Постановою Кабінету Міністрів України від 28 квітня 2021 року № 630, не дає змоги досягнути цілі регулювання, визначеної у розділі ІІ цього аналізу регуляторного впливу.</w:t>
            </w:r>
          </w:p>
        </w:tc>
        <w:tc>
          <w:tcPr>
            <w:tcW w:w="3213" w:type="dxa"/>
            <w:tcBorders>
              <w:top w:val="single" w:sz="4" w:space="0" w:color="000000"/>
              <w:left w:val="single" w:sz="4" w:space="0" w:color="000000"/>
              <w:bottom w:val="single" w:sz="4" w:space="0" w:color="000000"/>
              <w:right w:val="single" w:sz="4" w:space="0" w:color="000000"/>
            </w:tcBorders>
          </w:tcPr>
          <w:p w14:paraId="768671FF" w14:textId="77777777" w:rsidR="00922602" w:rsidRPr="006A1B4F" w:rsidRDefault="00312A85" w:rsidP="00C57021">
            <w:pPr>
              <w:pStyle w:val="10"/>
              <w:jc w:val="center"/>
              <w:rPr>
                <w:rFonts w:asciiTheme="majorBidi" w:hAnsiTheme="majorBidi" w:cstheme="majorBidi"/>
                <w:highlight w:val="yellow"/>
              </w:rPr>
            </w:pPr>
            <w:r w:rsidRPr="006A1B4F">
              <w:rPr>
                <w:rFonts w:asciiTheme="majorBidi" w:eastAsia="Times New Roman" w:hAnsiTheme="majorBidi" w:cstheme="majorBidi"/>
                <w:color w:val="000000"/>
              </w:rPr>
              <w:t>Відсутні</w:t>
            </w:r>
          </w:p>
        </w:tc>
      </w:tr>
      <w:tr w:rsidR="00922602" w:rsidRPr="006A1B4F" w14:paraId="7B319156" w14:textId="77777777">
        <w:trPr>
          <w:cantSplit/>
          <w:tblHeader/>
        </w:trPr>
        <w:tc>
          <w:tcPr>
            <w:tcW w:w="2238" w:type="dxa"/>
            <w:tcBorders>
              <w:top w:val="single" w:sz="4" w:space="0" w:color="000000"/>
              <w:left w:val="single" w:sz="4" w:space="0" w:color="000000"/>
              <w:bottom w:val="single" w:sz="4" w:space="0" w:color="000000"/>
              <w:right w:val="single" w:sz="4" w:space="0" w:color="000000"/>
            </w:tcBorders>
          </w:tcPr>
          <w:p w14:paraId="360F6921" w14:textId="77777777" w:rsidR="00922602" w:rsidRPr="006A1B4F" w:rsidRDefault="00312A85" w:rsidP="001B12B1">
            <w:pPr>
              <w:pStyle w:val="10"/>
              <w:rPr>
                <w:rFonts w:asciiTheme="majorBidi" w:hAnsiTheme="majorBidi" w:cstheme="majorBidi"/>
                <w:highlight w:val="yellow"/>
              </w:rPr>
            </w:pPr>
            <w:r w:rsidRPr="006A1B4F">
              <w:rPr>
                <w:rFonts w:asciiTheme="majorBidi" w:eastAsia="Times New Roman" w:hAnsiTheme="majorBidi" w:cstheme="majorBidi"/>
                <w:color w:val="000000"/>
              </w:rPr>
              <w:t>Альтернатива 2</w:t>
            </w:r>
          </w:p>
        </w:tc>
        <w:tc>
          <w:tcPr>
            <w:tcW w:w="4186" w:type="dxa"/>
            <w:tcBorders>
              <w:top w:val="single" w:sz="4" w:space="0" w:color="000000"/>
              <w:left w:val="single" w:sz="4" w:space="0" w:color="000000"/>
              <w:bottom w:val="single" w:sz="4" w:space="0" w:color="000000"/>
              <w:right w:val="single" w:sz="4" w:space="0" w:color="000000"/>
            </w:tcBorders>
          </w:tcPr>
          <w:p w14:paraId="0840F28E" w14:textId="77777777" w:rsidR="00922602" w:rsidRPr="006A1B4F" w:rsidRDefault="00312A85" w:rsidP="00C57021">
            <w:pPr>
              <w:pStyle w:val="10"/>
              <w:jc w:val="center"/>
              <w:rPr>
                <w:rFonts w:asciiTheme="majorBidi" w:hAnsiTheme="majorBidi" w:cstheme="majorBidi"/>
                <w:highlight w:val="yellow"/>
              </w:rPr>
            </w:pPr>
            <w:r w:rsidRPr="006A1B4F">
              <w:rPr>
                <w:rFonts w:asciiTheme="majorBidi" w:eastAsia="Times New Roman" w:hAnsiTheme="majorBidi" w:cstheme="majorBidi"/>
                <w:color w:val="000000"/>
              </w:rPr>
              <w:t xml:space="preserve">Причини для відмови відсутні. Обрана альтернатива є найбільш раціональним варіантом врахування інтересів всіх груп, на яких проблема справляє вплив. Затвердження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 найбільш прийнятним та ефективним способом, який дозволить досягти повною мірою цілі регулювання, визначеної у розділі ІІ цього аналізу регуляторного впливу.</w:t>
            </w:r>
          </w:p>
        </w:tc>
        <w:tc>
          <w:tcPr>
            <w:tcW w:w="3213" w:type="dxa"/>
            <w:tcBorders>
              <w:top w:val="single" w:sz="4" w:space="0" w:color="000000"/>
              <w:left w:val="single" w:sz="4" w:space="0" w:color="000000"/>
              <w:bottom w:val="single" w:sz="4" w:space="0" w:color="000000"/>
              <w:right w:val="single" w:sz="4" w:space="0" w:color="000000"/>
            </w:tcBorders>
          </w:tcPr>
          <w:p w14:paraId="3EA5E3B7" w14:textId="77777777" w:rsidR="00922602" w:rsidRPr="006A1B4F" w:rsidRDefault="00312A85" w:rsidP="00C57021">
            <w:pPr>
              <w:pStyle w:val="10"/>
              <w:jc w:val="center"/>
              <w:rPr>
                <w:rFonts w:asciiTheme="majorBidi" w:hAnsiTheme="majorBidi" w:cstheme="majorBidi"/>
              </w:rPr>
            </w:pPr>
            <w:r w:rsidRPr="006A1B4F">
              <w:rPr>
                <w:rFonts w:asciiTheme="majorBidi" w:eastAsia="Times New Roman" w:hAnsiTheme="majorBidi" w:cstheme="majorBidi"/>
                <w:color w:val="000000"/>
              </w:rPr>
              <w:t>У разі зміни зовнішніх факторів, відповідний регуляторний акт може бути переглянутий</w:t>
            </w:r>
          </w:p>
          <w:p w14:paraId="7D1DAACF" w14:textId="77777777" w:rsidR="00922602" w:rsidRPr="006A1B4F" w:rsidRDefault="00922602" w:rsidP="00C57021">
            <w:pPr>
              <w:pStyle w:val="10"/>
              <w:jc w:val="center"/>
              <w:rPr>
                <w:rFonts w:asciiTheme="majorBidi" w:eastAsia="Times New Roman" w:hAnsiTheme="majorBidi" w:cstheme="majorBidi"/>
                <w:color w:val="000000"/>
              </w:rPr>
            </w:pPr>
          </w:p>
          <w:p w14:paraId="762EC467" w14:textId="77777777" w:rsidR="00922602" w:rsidRPr="006A1B4F" w:rsidRDefault="00922602" w:rsidP="00C57021">
            <w:pPr>
              <w:pStyle w:val="10"/>
              <w:jc w:val="center"/>
              <w:rPr>
                <w:rFonts w:asciiTheme="majorBidi" w:eastAsia="Times New Roman" w:hAnsiTheme="majorBidi" w:cstheme="majorBidi"/>
                <w:color w:val="000000"/>
              </w:rPr>
            </w:pPr>
          </w:p>
        </w:tc>
      </w:tr>
    </w:tbl>
    <w:p w14:paraId="37A17C11" w14:textId="77777777" w:rsidR="00922602" w:rsidRPr="006A1B4F" w:rsidRDefault="00922602" w:rsidP="001B12B1">
      <w:pPr>
        <w:pStyle w:val="10"/>
        <w:shd w:val="clear" w:color="auto" w:fill="FFFFFF"/>
        <w:ind w:firstLine="709"/>
        <w:jc w:val="both"/>
        <w:rPr>
          <w:rFonts w:asciiTheme="majorBidi" w:eastAsia="Times New Roman" w:hAnsiTheme="majorBidi" w:cstheme="majorBidi"/>
        </w:rPr>
      </w:pPr>
    </w:p>
    <w:p w14:paraId="49215A56" w14:textId="77777777" w:rsidR="00922602" w:rsidRPr="006A1B4F" w:rsidRDefault="00312A85" w:rsidP="001B12B1">
      <w:pPr>
        <w:pStyle w:val="10"/>
        <w:numPr>
          <w:ilvl w:val="0"/>
          <w:numId w:val="1"/>
        </w:numPr>
        <w:pBdr>
          <w:top w:val="nil"/>
          <w:left w:val="nil"/>
          <w:bottom w:val="nil"/>
          <w:right w:val="nil"/>
          <w:between w:val="nil"/>
        </w:pBdr>
        <w:tabs>
          <w:tab w:val="left" w:pos="2205"/>
        </w:tabs>
        <w:ind w:left="1240"/>
        <w:jc w:val="both"/>
        <w:rPr>
          <w:rFonts w:asciiTheme="majorBidi" w:eastAsia="Times New Roman" w:hAnsiTheme="majorBidi" w:cstheme="majorBidi"/>
          <w:b/>
          <w:color w:val="000000"/>
        </w:rPr>
      </w:pPr>
      <w:r w:rsidRPr="006A1B4F">
        <w:rPr>
          <w:rFonts w:asciiTheme="majorBidi" w:eastAsia="Times New Roman" w:hAnsiTheme="majorBidi" w:cstheme="majorBidi"/>
          <w:b/>
          <w:color w:val="000000"/>
        </w:rPr>
        <w:t>Механізми та заходи, які забезпечать розв’язання</w:t>
      </w:r>
    </w:p>
    <w:p w14:paraId="1F937DFF" w14:textId="77777777" w:rsidR="00922602" w:rsidRPr="006A1B4F" w:rsidRDefault="00312A85" w:rsidP="001B12B1">
      <w:pPr>
        <w:pStyle w:val="10"/>
        <w:pBdr>
          <w:top w:val="nil"/>
          <w:left w:val="nil"/>
          <w:bottom w:val="nil"/>
          <w:right w:val="nil"/>
          <w:between w:val="nil"/>
        </w:pBdr>
        <w:ind w:left="3620"/>
        <w:rPr>
          <w:rFonts w:asciiTheme="majorBidi" w:eastAsia="Times New Roman" w:hAnsiTheme="majorBidi" w:cstheme="majorBidi"/>
          <w:b/>
          <w:color w:val="000000"/>
        </w:rPr>
      </w:pPr>
      <w:r w:rsidRPr="006A1B4F">
        <w:rPr>
          <w:rFonts w:asciiTheme="majorBidi" w:eastAsia="Times New Roman" w:hAnsiTheme="majorBidi" w:cstheme="majorBidi"/>
          <w:b/>
          <w:color w:val="000000"/>
        </w:rPr>
        <w:t>визначеної проблеми</w:t>
      </w:r>
    </w:p>
    <w:p w14:paraId="78555090" w14:textId="53998739"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З метою створення подібного організаційно-економічного механізму справляння плати за оренду як на </w:t>
      </w:r>
      <w:proofErr w:type="spellStart"/>
      <w:r w:rsidRPr="006A1B4F">
        <w:rPr>
          <w:rFonts w:asciiTheme="majorBidi" w:eastAsia="Times New Roman" w:hAnsiTheme="majorBidi" w:cstheme="majorBidi"/>
          <w:color w:val="000000"/>
        </w:rPr>
        <w:t>регіональном</w:t>
      </w:r>
      <w:proofErr w:type="spellEnd"/>
      <w:r w:rsidRPr="006A1B4F">
        <w:rPr>
          <w:rFonts w:asciiTheme="majorBidi" w:eastAsia="Times New Roman" w:hAnsiTheme="majorBidi" w:cstheme="majorBidi"/>
          <w:color w:val="000000"/>
        </w:rPr>
        <w:t>, так і на державному рівнях, орендні ставки визначено виходячи з розміру орендних ставок за майно державної власності, встановлених Методикою розрахунку орендної плати за державне майно та пропорціями її розподілу, затвердженою постановою Кабінету Міністрів України від 28.04.2021 року № 630 (далі – Методика КМУ).</w:t>
      </w:r>
    </w:p>
    <w:p w14:paraId="7C00959A" w14:textId="70B8B58E"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Однак, положення Методики КМУ не повною мірою враховують інтереси територіальних громад, зокрема, </w:t>
      </w:r>
      <w:r w:rsidR="00454624" w:rsidRPr="006A1B4F">
        <w:rPr>
          <w:rFonts w:asciiTheme="majorBidi" w:eastAsia="Times New Roman" w:hAnsiTheme="majorBidi" w:cstheme="majorBidi"/>
          <w:color w:val="000000"/>
        </w:rPr>
        <w:t>Авангардівської селищної територіальної громади</w:t>
      </w:r>
      <w:r w:rsidRPr="006A1B4F">
        <w:rPr>
          <w:rFonts w:asciiTheme="majorBidi" w:eastAsia="Times New Roman" w:hAnsiTheme="majorBidi" w:cstheme="majorBidi"/>
          <w:color w:val="000000"/>
        </w:rPr>
        <w:t>.</w:t>
      </w:r>
    </w:p>
    <w:p w14:paraId="3D78275C" w14:textId="77777777" w:rsidR="00922602" w:rsidRPr="006A1B4F" w:rsidRDefault="00312A85" w:rsidP="001B12B1">
      <w:pPr>
        <w:pStyle w:val="10"/>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Пунктами 5 та 12 Додатку 1 до Методики КМУ для установ і організацій, діяльність яких фінансується з місцевих бюджетів, та для органів місцевого самоврядування встановлено орендну ставку у розмірі 4 та 3 % відповідно. Також, відповідно до пунктів 4, 13 та 17 Додатку 1 до Методики КМУ встановлено наступні орендні ставки: комунальним підприємствам, установам, організаціям у сфері культури і мистецтв - 4 %; комунальним закладам охорони здоров’я, які утримуються за рахунок місцевих бюджетів, - 3 %; комунальним закладам охорони здоров’я, які утримуються за рахунок місцевого бюджету та комунальним некомерційним підприємствам, що утворились в результаті реорганізації комунальних закладів охорони здоров’я – 3 %.</w:t>
      </w:r>
    </w:p>
    <w:p w14:paraId="5EAF4B42" w14:textId="4B62627E" w:rsidR="00B13474" w:rsidRPr="006A1B4F" w:rsidRDefault="00B13474" w:rsidP="001B12B1">
      <w:pPr>
        <w:pStyle w:val="10"/>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Крім того, якщо орендна плата визначена на підставі Методики </w:t>
      </w:r>
      <w:r w:rsidRPr="006A1B4F">
        <w:rPr>
          <w:rFonts w:asciiTheme="majorBidi" w:hAnsiTheme="majorBidi" w:cstheme="majorBidi"/>
          <w:color w:val="333333"/>
          <w:shd w:val="clear" w:color="auto" w:fill="FFFFFF"/>
        </w:rPr>
        <w:t xml:space="preserve">і при цьому між датою визначення орендної плати за базовий місяць і датою підписання </w:t>
      </w:r>
      <w:proofErr w:type="spellStart"/>
      <w:r w:rsidRPr="006A1B4F">
        <w:rPr>
          <w:rFonts w:asciiTheme="majorBidi" w:hAnsiTheme="majorBidi" w:cstheme="majorBidi"/>
          <w:color w:val="333333"/>
          <w:shd w:val="clear" w:color="auto" w:fill="FFFFFF"/>
        </w:rPr>
        <w:t>акта</w:t>
      </w:r>
      <w:proofErr w:type="spellEnd"/>
      <w:r w:rsidRPr="006A1B4F">
        <w:rPr>
          <w:rFonts w:asciiTheme="majorBidi" w:hAnsiTheme="majorBidi" w:cstheme="majorBidi"/>
          <w:color w:val="333333"/>
          <w:shd w:val="clear" w:color="auto" w:fill="FFFFFF"/>
        </w:rPr>
        <w:t xml:space="preserve">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458ADC59" w14:textId="39B96A5B"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У зв’язку з необхідністю залучення бюджетних </w:t>
      </w:r>
      <w:r w:rsidR="007C6E87" w:rsidRPr="006A1B4F">
        <w:rPr>
          <w:rFonts w:asciiTheme="majorBidi" w:eastAsia="Times New Roman" w:hAnsiTheme="majorBidi" w:cstheme="majorBidi"/>
          <w:color w:val="000000"/>
        </w:rPr>
        <w:t>асигнувань використання вказаних ставок</w:t>
      </w:r>
      <w:r w:rsidRPr="006A1B4F">
        <w:rPr>
          <w:rFonts w:asciiTheme="majorBidi" w:eastAsia="Times New Roman" w:hAnsiTheme="majorBidi" w:cstheme="majorBidi"/>
          <w:color w:val="000000"/>
        </w:rPr>
        <w:t xml:space="preserve"> ускладнить процедуру передачі в оренду комунального майна виконавчим органам місцевого самоврядування, іншим бюджетним організаціям, закладам, установам, які фінансуються з місцевого бюджет</w:t>
      </w:r>
      <w:r w:rsidR="00B13474" w:rsidRPr="006A1B4F">
        <w:rPr>
          <w:rFonts w:asciiTheme="majorBidi" w:eastAsia="Times New Roman" w:hAnsiTheme="majorBidi" w:cstheme="majorBidi"/>
          <w:color w:val="000000"/>
        </w:rPr>
        <w:t xml:space="preserve">у та призводить до нераціонального використання </w:t>
      </w:r>
      <w:r w:rsidR="006440E8" w:rsidRPr="006A1B4F">
        <w:rPr>
          <w:rFonts w:asciiTheme="majorBidi" w:eastAsia="Times New Roman" w:hAnsiTheme="majorBidi" w:cstheme="majorBidi"/>
          <w:color w:val="000000"/>
        </w:rPr>
        <w:t xml:space="preserve">та </w:t>
      </w:r>
      <w:r w:rsidR="006440E8" w:rsidRPr="006A1B4F">
        <w:rPr>
          <w:rFonts w:asciiTheme="majorBidi" w:eastAsia="Times New Roman" w:hAnsiTheme="majorBidi" w:cstheme="majorBidi"/>
          <w:color w:val="000000"/>
        </w:rPr>
        <w:lastRenderedPageBreak/>
        <w:t xml:space="preserve">розподілу </w:t>
      </w:r>
      <w:r w:rsidR="00B13474" w:rsidRPr="006A1B4F">
        <w:rPr>
          <w:rFonts w:asciiTheme="majorBidi" w:eastAsia="Times New Roman" w:hAnsiTheme="majorBidi" w:cstheme="majorBidi"/>
          <w:color w:val="000000"/>
        </w:rPr>
        <w:t>бюджетних коштів.</w:t>
      </w:r>
    </w:p>
    <w:p w14:paraId="7B3419B2" w14:textId="3CE7829F"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Відтак, доцільним є </w:t>
      </w:r>
      <w:r w:rsidR="006440E8" w:rsidRPr="006A1B4F">
        <w:rPr>
          <w:rFonts w:asciiTheme="majorBidi" w:eastAsia="Times New Roman" w:hAnsiTheme="majorBidi" w:cstheme="majorBidi"/>
          <w:color w:val="000000"/>
        </w:rPr>
        <w:t xml:space="preserve">прийняття своєї Методики розрахунку орендної плати та </w:t>
      </w:r>
      <w:r w:rsidRPr="006A1B4F">
        <w:rPr>
          <w:rFonts w:asciiTheme="majorBidi" w:eastAsia="Times New Roman" w:hAnsiTheme="majorBidi" w:cstheme="majorBidi"/>
          <w:color w:val="000000"/>
        </w:rPr>
        <w:t xml:space="preserve">встановлення орендної </w:t>
      </w:r>
      <w:r w:rsidR="006440E8" w:rsidRPr="006A1B4F">
        <w:rPr>
          <w:rFonts w:asciiTheme="majorBidi" w:eastAsia="Times New Roman" w:hAnsiTheme="majorBidi" w:cstheme="majorBidi"/>
          <w:color w:val="000000"/>
        </w:rPr>
        <w:t>плати</w:t>
      </w:r>
      <w:r w:rsidRPr="006A1B4F">
        <w:rPr>
          <w:rFonts w:asciiTheme="majorBidi" w:eastAsia="Times New Roman" w:hAnsiTheme="majorBidi" w:cstheme="majorBidi"/>
          <w:color w:val="000000"/>
        </w:rPr>
        <w:t xml:space="preserve"> для </w:t>
      </w:r>
      <w:r w:rsidR="006440E8" w:rsidRPr="006A1B4F">
        <w:rPr>
          <w:rFonts w:asciiTheme="majorBidi" w:eastAsia="Times New Roman" w:hAnsiTheme="majorBidi" w:cstheme="majorBidi"/>
          <w:color w:val="000000"/>
        </w:rPr>
        <w:t>окремо визначених</w:t>
      </w:r>
      <w:r w:rsidRPr="006A1B4F">
        <w:rPr>
          <w:rFonts w:asciiTheme="majorBidi" w:eastAsia="Times New Roman" w:hAnsiTheme="majorBidi" w:cstheme="majorBidi"/>
          <w:color w:val="000000"/>
        </w:rPr>
        <w:t xml:space="preserve"> суб’єктів на рівні 1 гривні</w:t>
      </w:r>
      <w:r w:rsidR="006440E8" w:rsidRPr="006A1B4F">
        <w:rPr>
          <w:rFonts w:asciiTheme="majorBidi" w:eastAsia="Times New Roman" w:hAnsiTheme="majorBidi" w:cstheme="majorBidi"/>
          <w:color w:val="000000"/>
        </w:rPr>
        <w:t xml:space="preserve"> на рік</w:t>
      </w:r>
      <w:r w:rsidRPr="006A1B4F">
        <w:rPr>
          <w:rFonts w:asciiTheme="majorBidi" w:eastAsia="Times New Roman" w:hAnsiTheme="majorBidi" w:cstheme="majorBidi"/>
          <w:color w:val="000000"/>
        </w:rPr>
        <w:t>.</w:t>
      </w:r>
    </w:p>
    <w:p w14:paraId="344B811B" w14:textId="476FB590" w:rsidR="00922602" w:rsidRPr="006A1B4F" w:rsidRDefault="00312A85" w:rsidP="00454624">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Згідно зі статтею 2 Закону України «Про статус депутатів місцевих рад» депутат </w:t>
      </w:r>
      <w:r w:rsidR="00454624" w:rsidRPr="006A1B4F">
        <w:rPr>
          <w:rFonts w:asciiTheme="majorBidi" w:eastAsia="Times New Roman" w:hAnsiTheme="majorBidi" w:cstheme="majorBidi"/>
          <w:color w:val="000000"/>
        </w:rPr>
        <w:t xml:space="preserve">місцевої </w:t>
      </w:r>
      <w:r w:rsidRPr="006A1B4F">
        <w:rPr>
          <w:rFonts w:asciiTheme="majorBidi" w:eastAsia="Times New Roman" w:hAnsiTheme="majorBidi" w:cstheme="majorBidi"/>
          <w:color w:val="000000"/>
        </w:rPr>
        <w:t>ради є представником інтересів територіальної громади, який відповідно до Конституції України і закону про місцеві вибори обирається на основі загального, рівного, прямого виборчого права шляхом таємного голосування на строк, встановлений Конституцією України. Депутат місцевої ради як представник 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w:t>
      </w:r>
    </w:p>
    <w:p w14:paraId="4FA4B1A3" w14:textId="54AE6C7F" w:rsidR="007C6E87" w:rsidRPr="006A1B4F" w:rsidRDefault="007C6E87" w:rsidP="001B12B1">
      <w:pPr>
        <w:pStyle w:val="10"/>
        <w:shd w:val="clear" w:color="auto" w:fill="FFFFFF"/>
        <w:ind w:firstLine="720"/>
        <w:jc w:val="both"/>
        <w:rPr>
          <w:rFonts w:asciiTheme="majorBidi" w:hAnsiTheme="majorBidi" w:cstheme="majorBidi"/>
        </w:rPr>
      </w:pPr>
      <w:r w:rsidRPr="006A1B4F">
        <w:rPr>
          <w:rFonts w:asciiTheme="majorBidi" w:eastAsia="Times New Roman" w:hAnsiTheme="majorBidi" w:cstheme="majorBidi"/>
          <w:color w:val="000000"/>
        </w:rPr>
        <w:t xml:space="preserve">За таких умов доцільним вбачається встановлення орендної ставки для депутатів </w:t>
      </w:r>
      <w:r w:rsidR="00454624" w:rsidRPr="006A1B4F">
        <w:rPr>
          <w:rFonts w:asciiTheme="majorBidi" w:eastAsia="Times New Roman" w:hAnsiTheme="majorBidi" w:cstheme="majorBidi"/>
          <w:color w:val="000000"/>
        </w:rPr>
        <w:t xml:space="preserve">Авангардівської селищної </w:t>
      </w:r>
      <w:r w:rsidRPr="006A1B4F">
        <w:rPr>
          <w:rFonts w:asciiTheme="majorBidi" w:eastAsia="Times New Roman" w:hAnsiTheme="majorBidi" w:cstheme="majorBidi"/>
          <w:color w:val="000000"/>
        </w:rPr>
        <w:t>ради з метою розміщення громадських</w:t>
      </w:r>
      <w:r w:rsidR="00536C0E" w:rsidRPr="006A1B4F">
        <w:rPr>
          <w:rFonts w:asciiTheme="majorBidi" w:eastAsia="Times New Roman" w:hAnsiTheme="majorBidi" w:cstheme="majorBidi"/>
          <w:color w:val="000000"/>
        </w:rPr>
        <w:t xml:space="preserve"> </w:t>
      </w:r>
      <w:proofErr w:type="spellStart"/>
      <w:r w:rsidR="00536C0E" w:rsidRPr="006A1B4F">
        <w:rPr>
          <w:rFonts w:asciiTheme="majorBidi" w:eastAsia="Times New Roman" w:hAnsiTheme="majorBidi" w:cstheme="majorBidi"/>
          <w:color w:val="000000"/>
        </w:rPr>
        <w:t>приймалень</w:t>
      </w:r>
      <w:proofErr w:type="spellEnd"/>
      <w:r w:rsidR="00536C0E" w:rsidRPr="006A1B4F">
        <w:rPr>
          <w:rFonts w:asciiTheme="majorBidi" w:eastAsia="Times New Roman" w:hAnsiTheme="majorBidi" w:cstheme="majorBidi"/>
          <w:color w:val="000000"/>
        </w:rPr>
        <w:t xml:space="preserve"> на площі, меншій ніж </w:t>
      </w:r>
      <w:r w:rsidR="00063562" w:rsidRPr="006A1B4F">
        <w:rPr>
          <w:rFonts w:asciiTheme="majorBidi" w:eastAsia="Times New Roman" w:hAnsiTheme="majorBidi" w:cstheme="majorBidi"/>
          <w:color w:val="000000"/>
        </w:rPr>
        <w:t xml:space="preserve">   </w:t>
      </w:r>
      <w:r w:rsidR="00536C0E" w:rsidRPr="006A1B4F">
        <w:rPr>
          <w:rFonts w:asciiTheme="majorBidi" w:eastAsia="Times New Roman" w:hAnsiTheme="majorBidi" w:cstheme="majorBidi"/>
          <w:color w:val="000000"/>
        </w:rPr>
        <w:t xml:space="preserve">50 </w:t>
      </w:r>
      <w:proofErr w:type="spellStart"/>
      <w:r w:rsidR="00536C0E" w:rsidRPr="006A1B4F">
        <w:rPr>
          <w:rFonts w:asciiTheme="majorBidi" w:eastAsia="Times New Roman" w:hAnsiTheme="majorBidi" w:cstheme="majorBidi"/>
          <w:color w:val="000000"/>
        </w:rPr>
        <w:t>кв.м</w:t>
      </w:r>
      <w:proofErr w:type="spellEnd"/>
      <w:r w:rsidR="00536C0E" w:rsidRPr="006A1B4F">
        <w:rPr>
          <w:rFonts w:asciiTheme="majorBidi" w:eastAsia="Times New Roman" w:hAnsiTheme="majorBidi" w:cstheme="majorBidi"/>
          <w:color w:val="000000"/>
        </w:rPr>
        <w:t>, на рівні 1 гривні</w:t>
      </w:r>
      <w:r w:rsidR="006440E8" w:rsidRPr="006A1B4F">
        <w:rPr>
          <w:rFonts w:asciiTheme="majorBidi" w:eastAsia="Times New Roman" w:hAnsiTheme="majorBidi" w:cstheme="majorBidi"/>
          <w:color w:val="000000"/>
        </w:rPr>
        <w:t xml:space="preserve"> на рік</w:t>
      </w:r>
      <w:r w:rsidR="00536C0E" w:rsidRPr="006A1B4F">
        <w:rPr>
          <w:rFonts w:asciiTheme="majorBidi" w:eastAsia="Times New Roman" w:hAnsiTheme="majorBidi" w:cstheme="majorBidi"/>
          <w:color w:val="000000"/>
        </w:rPr>
        <w:t>.</w:t>
      </w:r>
      <w:r w:rsidRPr="006A1B4F">
        <w:rPr>
          <w:rFonts w:asciiTheme="majorBidi" w:eastAsia="Times New Roman" w:hAnsiTheme="majorBidi" w:cstheme="majorBidi"/>
          <w:color w:val="000000"/>
        </w:rPr>
        <w:t xml:space="preserve"> </w:t>
      </w:r>
    </w:p>
    <w:p w14:paraId="7C3FA955" w14:textId="77777777" w:rsidR="00922602" w:rsidRPr="006A1B4F" w:rsidRDefault="00312A85" w:rsidP="001B12B1">
      <w:pPr>
        <w:pStyle w:val="10"/>
        <w:shd w:val="clear" w:color="auto" w:fill="FFFFFF"/>
        <w:ind w:firstLine="720"/>
        <w:jc w:val="both"/>
        <w:rPr>
          <w:rFonts w:asciiTheme="majorBidi" w:hAnsiTheme="majorBidi" w:cstheme="majorBidi"/>
        </w:rPr>
      </w:pPr>
      <w:r w:rsidRPr="006A1B4F">
        <w:rPr>
          <w:rFonts w:asciiTheme="majorBidi" w:eastAsia="Times New Roman" w:hAnsiTheme="majorBidi" w:cstheme="majorBidi"/>
          <w:color w:val="000000"/>
        </w:rPr>
        <w:t xml:space="preserve">Відповідно до пункту 22 Додатку 1 до Методики КМУ для громадських об’єднань ветеранів для розміщення реабілітаційних установ для ветеранів встановлено ставки 4 % (на площі не більш як 50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 xml:space="preserve">) та 7 % (на частині площі, що перевищує 100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w:t>
      </w:r>
    </w:p>
    <w:p w14:paraId="31500A08" w14:textId="77777777"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В свою чергу, відповідно до статті 20 Закону України «Про статус ветеранів війни, гарантії їх соціального захисту» органи місцевого самоврядування у межах своєї компетенції надають ветеранським організаціям фінансову підтримку, безплатно надають будинки, приміщення, обладнання та інше майно, необхідне для здійснення їх статутних завдань.</w:t>
      </w:r>
    </w:p>
    <w:p w14:paraId="669D9AF6" w14:textId="77777777"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Враховуючи неможливість надання в безоплатне користування нерухомого майна комунальної власності запропоновано зниження орендної ставки – 1 % (на площі не більш як 50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 xml:space="preserve">) та 3 % (на частині площі, що перевищує 100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w:t>
      </w:r>
    </w:p>
    <w:p w14:paraId="474EC933" w14:textId="77777777"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 xml:space="preserve">Пунктом 23 Додатку 1 до Методики КМУ для реабілітаційних установ для осіб з інвалідністю та дітей з інвалідністю для розміщення таких реабілітаційних центрів встановлено ставку у розмірі 1 % (на площі не більш як 50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 xml:space="preserve">) та 7 % (на частині площі, що перевищує 100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w:t>
      </w:r>
    </w:p>
    <w:p w14:paraId="348990B4" w14:textId="77777777"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Відповідно до статті 13 Закону України «Про основи соціальної захищеності осіб з інвалідністю в Україні» органи місцевого самоврядування повинні надавати допомогу і сприяти громадським об’єднанням осіб з інвалідністю в їх діяльності.</w:t>
      </w:r>
    </w:p>
    <w:p w14:paraId="1C8127CE" w14:textId="65C84F6B" w:rsidR="00922602" w:rsidRPr="006A1B4F" w:rsidRDefault="00312A85" w:rsidP="001B12B1">
      <w:pPr>
        <w:pStyle w:val="10"/>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З урахуванням викладеного, запропоновано зменшити ставку з 7 % до 3 % (на частині площі, що перевищує 100 </w:t>
      </w:r>
      <w:proofErr w:type="spellStart"/>
      <w:r w:rsidRPr="006A1B4F">
        <w:rPr>
          <w:rFonts w:asciiTheme="majorBidi" w:eastAsia="Times New Roman" w:hAnsiTheme="majorBidi" w:cstheme="majorBidi"/>
          <w:color w:val="000000"/>
        </w:rPr>
        <w:t>кв.м</w:t>
      </w:r>
      <w:proofErr w:type="spellEnd"/>
      <w:r w:rsidRPr="006A1B4F">
        <w:rPr>
          <w:rFonts w:asciiTheme="majorBidi" w:eastAsia="Times New Roman" w:hAnsiTheme="majorBidi" w:cstheme="majorBidi"/>
          <w:color w:val="000000"/>
        </w:rPr>
        <w:t>.).</w:t>
      </w:r>
    </w:p>
    <w:p w14:paraId="7AB870E9" w14:textId="1D41A950" w:rsidR="006440E8" w:rsidRPr="006A1B4F" w:rsidRDefault="006440E8" w:rsidP="001B12B1">
      <w:pPr>
        <w:pStyle w:val="10"/>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У свою чергу, іншим орендарям, які мають право оренди приміщень без аукціону  і які не утримуються (не фінансуються) з місцевого бюджету, будуть встановлені диференційовані орендні ставки.</w:t>
      </w:r>
    </w:p>
    <w:p w14:paraId="4507B668" w14:textId="1BCF533A" w:rsidR="00FA7680" w:rsidRPr="006A1B4F" w:rsidRDefault="00FA7680" w:rsidP="00FA7680">
      <w:pPr>
        <w:pStyle w:val="11"/>
        <w:ind w:firstLine="780"/>
        <w:jc w:val="both"/>
        <w:rPr>
          <w:rFonts w:asciiTheme="majorBidi" w:hAnsiTheme="majorBidi" w:cstheme="majorBidi"/>
          <w:sz w:val="24"/>
          <w:szCs w:val="24"/>
        </w:rPr>
      </w:pPr>
      <w:proofErr w:type="spellStart"/>
      <w:r w:rsidRPr="006A1B4F">
        <w:rPr>
          <w:rFonts w:asciiTheme="majorBidi" w:hAnsiTheme="majorBidi" w:cstheme="majorBidi"/>
          <w:sz w:val="24"/>
          <w:szCs w:val="24"/>
        </w:rPr>
        <w:t>Авангардівській</w:t>
      </w:r>
      <w:proofErr w:type="spellEnd"/>
      <w:r w:rsidRPr="006A1B4F">
        <w:rPr>
          <w:rFonts w:asciiTheme="majorBidi" w:hAnsiTheme="majorBidi" w:cstheme="majorBidi"/>
          <w:sz w:val="24"/>
          <w:szCs w:val="24"/>
        </w:rPr>
        <w:t xml:space="preserve"> територіальній громаді для </w:t>
      </w:r>
      <w:r w:rsidRPr="006A1B4F">
        <w:rPr>
          <w:rFonts w:asciiTheme="majorBidi" w:hAnsiTheme="majorBidi" w:cstheme="majorBidi"/>
          <w:sz w:val="24"/>
          <w:szCs w:val="24"/>
        </w:rPr>
        <w:t xml:space="preserve">впровадження вимог </w:t>
      </w:r>
      <w:r w:rsidRPr="006A1B4F">
        <w:rPr>
          <w:rFonts w:asciiTheme="majorBidi" w:hAnsiTheme="majorBidi" w:cstheme="majorBidi"/>
          <w:sz w:val="24"/>
          <w:szCs w:val="24"/>
        </w:rPr>
        <w:t xml:space="preserve">місцевого </w:t>
      </w:r>
      <w:r w:rsidRPr="006A1B4F">
        <w:rPr>
          <w:rFonts w:asciiTheme="majorBidi" w:hAnsiTheme="majorBidi" w:cstheme="majorBidi"/>
          <w:sz w:val="24"/>
          <w:szCs w:val="24"/>
        </w:rPr>
        <w:t>регулювання необхідно:</w:t>
      </w:r>
    </w:p>
    <w:p w14:paraId="53ED7CC3" w14:textId="77777777" w:rsidR="00FA7680" w:rsidRPr="006A1B4F" w:rsidRDefault="00FA7680" w:rsidP="00FA7680">
      <w:pPr>
        <w:pStyle w:val="11"/>
        <w:numPr>
          <w:ilvl w:val="0"/>
          <w:numId w:val="3"/>
        </w:numPr>
        <w:tabs>
          <w:tab w:val="left" w:pos="1130"/>
        </w:tabs>
        <w:ind w:firstLine="780"/>
        <w:jc w:val="both"/>
        <w:rPr>
          <w:rFonts w:asciiTheme="majorBidi" w:hAnsiTheme="majorBidi" w:cstheme="majorBidi"/>
          <w:sz w:val="24"/>
          <w:szCs w:val="24"/>
        </w:rPr>
      </w:pPr>
      <w:bookmarkStart w:id="8" w:name="bookmark26"/>
      <w:bookmarkEnd w:id="8"/>
      <w:r w:rsidRPr="006A1B4F">
        <w:rPr>
          <w:rFonts w:asciiTheme="majorBidi" w:hAnsiTheme="majorBidi" w:cstheme="majorBidi"/>
          <w:sz w:val="24"/>
          <w:szCs w:val="24"/>
        </w:rPr>
        <w:t xml:space="preserve">забезпечити інформування про вимоги регуляторного </w:t>
      </w:r>
      <w:proofErr w:type="spellStart"/>
      <w:r w:rsidRPr="006A1B4F">
        <w:rPr>
          <w:rFonts w:asciiTheme="majorBidi" w:hAnsiTheme="majorBidi" w:cstheme="majorBidi"/>
          <w:sz w:val="24"/>
          <w:szCs w:val="24"/>
        </w:rPr>
        <w:t>акта</w:t>
      </w:r>
      <w:proofErr w:type="spellEnd"/>
      <w:r w:rsidRPr="006A1B4F">
        <w:rPr>
          <w:rFonts w:asciiTheme="majorBidi" w:hAnsiTheme="majorBidi" w:cstheme="majorBidi"/>
          <w:sz w:val="24"/>
          <w:szCs w:val="24"/>
        </w:rPr>
        <w:t xml:space="preserve"> суб’єктів господарювання - шляхом оприлюднення регуляторного </w:t>
      </w:r>
      <w:proofErr w:type="spellStart"/>
      <w:r w:rsidRPr="006A1B4F">
        <w:rPr>
          <w:rFonts w:asciiTheme="majorBidi" w:hAnsiTheme="majorBidi" w:cstheme="majorBidi"/>
          <w:sz w:val="24"/>
          <w:szCs w:val="24"/>
        </w:rPr>
        <w:t>акта</w:t>
      </w:r>
      <w:proofErr w:type="spellEnd"/>
      <w:r w:rsidRPr="006A1B4F">
        <w:rPr>
          <w:rFonts w:asciiTheme="majorBidi" w:hAnsiTheme="majorBidi" w:cstheme="majorBidi"/>
          <w:sz w:val="24"/>
          <w:szCs w:val="24"/>
        </w:rPr>
        <w:t xml:space="preserve"> на офіційному веб-сайті;</w:t>
      </w:r>
    </w:p>
    <w:p w14:paraId="28078FBC" w14:textId="098DB0E1" w:rsidR="006440E8" w:rsidRPr="006A1B4F" w:rsidRDefault="00FA7680" w:rsidP="00FA7680">
      <w:pPr>
        <w:pStyle w:val="11"/>
        <w:numPr>
          <w:ilvl w:val="0"/>
          <w:numId w:val="3"/>
        </w:numPr>
        <w:tabs>
          <w:tab w:val="left" w:pos="1190"/>
        </w:tabs>
        <w:ind w:firstLine="780"/>
        <w:jc w:val="both"/>
        <w:rPr>
          <w:rFonts w:asciiTheme="majorBidi" w:hAnsiTheme="majorBidi" w:cstheme="majorBidi"/>
          <w:sz w:val="24"/>
          <w:szCs w:val="24"/>
        </w:rPr>
      </w:pPr>
      <w:bookmarkStart w:id="9" w:name="bookmark27"/>
      <w:bookmarkEnd w:id="9"/>
      <w:r w:rsidRPr="006A1B4F">
        <w:rPr>
          <w:rFonts w:asciiTheme="majorBidi" w:hAnsiTheme="majorBidi" w:cstheme="majorBidi"/>
          <w:sz w:val="24"/>
          <w:szCs w:val="24"/>
        </w:rPr>
        <w:t>організувати виконання вимог регулювання</w:t>
      </w:r>
      <w:r w:rsidR="0013283A" w:rsidRPr="006A1B4F">
        <w:rPr>
          <w:rFonts w:asciiTheme="majorBidi" w:hAnsiTheme="majorBidi" w:cstheme="majorBidi"/>
          <w:sz w:val="24"/>
          <w:szCs w:val="24"/>
        </w:rPr>
        <w:t>;</w:t>
      </w:r>
    </w:p>
    <w:p w14:paraId="1601B006" w14:textId="5D4D83C1" w:rsidR="00FA7680" w:rsidRPr="006A1B4F" w:rsidRDefault="0013283A" w:rsidP="00FA7680">
      <w:pPr>
        <w:pStyle w:val="11"/>
        <w:numPr>
          <w:ilvl w:val="0"/>
          <w:numId w:val="3"/>
        </w:numPr>
        <w:tabs>
          <w:tab w:val="left" w:pos="1190"/>
        </w:tabs>
        <w:ind w:firstLine="780"/>
        <w:jc w:val="both"/>
        <w:rPr>
          <w:rFonts w:asciiTheme="majorBidi" w:hAnsiTheme="majorBidi" w:cstheme="majorBidi"/>
          <w:sz w:val="24"/>
          <w:szCs w:val="24"/>
        </w:rPr>
      </w:pPr>
      <w:r w:rsidRPr="006A1B4F">
        <w:rPr>
          <w:rFonts w:asciiTheme="majorBidi" w:hAnsiTheme="majorBidi" w:cstheme="majorBidi"/>
          <w:sz w:val="24"/>
          <w:szCs w:val="24"/>
        </w:rPr>
        <w:t>розробити власну методику із зазначенням пільгових категорій орендарів.</w:t>
      </w:r>
    </w:p>
    <w:p w14:paraId="7C22205F" w14:textId="77777777" w:rsidR="00922602" w:rsidRPr="006A1B4F" w:rsidRDefault="00922602" w:rsidP="001B12B1">
      <w:pPr>
        <w:pStyle w:val="10"/>
        <w:shd w:val="clear" w:color="auto" w:fill="FFFFFF"/>
        <w:ind w:firstLine="709"/>
        <w:jc w:val="both"/>
        <w:rPr>
          <w:rFonts w:asciiTheme="majorBidi" w:eastAsia="Times New Roman" w:hAnsiTheme="majorBidi" w:cstheme="majorBidi"/>
          <w:color w:val="000000"/>
        </w:rPr>
      </w:pPr>
    </w:p>
    <w:p w14:paraId="4440D7EB" w14:textId="2C22B420" w:rsidR="00922602" w:rsidRPr="006A1B4F" w:rsidRDefault="00312A85" w:rsidP="00134815">
      <w:pPr>
        <w:pStyle w:val="10"/>
        <w:shd w:val="clear" w:color="auto" w:fill="FFFFFF"/>
        <w:ind w:firstLine="709"/>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 xml:space="preserve">VI. Оцінка виконання вимог регуляторного </w:t>
      </w:r>
      <w:proofErr w:type="spellStart"/>
      <w:r w:rsidRPr="006A1B4F">
        <w:rPr>
          <w:rFonts w:asciiTheme="majorBidi" w:eastAsia="Times New Roman" w:hAnsiTheme="majorBidi" w:cstheme="majorBidi"/>
          <w:b/>
          <w:color w:val="000000"/>
        </w:rPr>
        <w:t>акта</w:t>
      </w:r>
      <w:proofErr w:type="spellEnd"/>
      <w:r w:rsidRPr="006A1B4F">
        <w:rPr>
          <w:rFonts w:asciiTheme="majorBidi" w:eastAsia="Times New Roman" w:hAnsiTheme="majorBidi" w:cstheme="majorBidi"/>
          <w:b/>
          <w:color w:val="000000"/>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5C4D28B" w14:textId="77777777" w:rsidR="006C4C68" w:rsidRPr="006A1B4F" w:rsidRDefault="006C4C68" w:rsidP="001B12B1">
      <w:pPr>
        <w:pStyle w:val="10"/>
        <w:shd w:val="clear" w:color="auto" w:fill="FFFFFF"/>
        <w:ind w:firstLine="709"/>
        <w:jc w:val="both"/>
        <w:rPr>
          <w:rFonts w:asciiTheme="majorBidi" w:eastAsia="Times New Roman" w:hAnsiTheme="majorBidi" w:cstheme="majorBidi"/>
          <w:bCs/>
          <w:color w:val="000000"/>
        </w:rPr>
      </w:pPr>
      <w:r w:rsidRPr="006A1B4F">
        <w:rPr>
          <w:rFonts w:asciiTheme="majorBidi" w:eastAsia="Times New Roman" w:hAnsiTheme="majorBidi" w:cstheme="majorBidi"/>
          <w:bCs/>
          <w:color w:val="000000"/>
        </w:rPr>
        <w:t xml:space="preserve">Виконання вимог регуляторного </w:t>
      </w:r>
      <w:proofErr w:type="spellStart"/>
      <w:r w:rsidRPr="006A1B4F">
        <w:rPr>
          <w:rFonts w:asciiTheme="majorBidi" w:eastAsia="Times New Roman" w:hAnsiTheme="majorBidi" w:cstheme="majorBidi"/>
          <w:bCs/>
          <w:color w:val="000000"/>
        </w:rPr>
        <w:t>акта</w:t>
      </w:r>
      <w:proofErr w:type="spellEnd"/>
      <w:r w:rsidRPr="006A1B4F">
        <w:rPr>
          <w:rFonts w:asciiTheme="majorBidi" w:eastAsia="Times New Roman" w:hAnsiTheme="majorBidi" w:cstheme="majorBidi"/>
          <w:bCs/>
          <w:color w:val="000000"/>
        </w:rPr>
        <w:t xml:space="preserve"> залежно від ресурсів, якими розпоряджається Авангардівська селищна рада, фізичні та юридичні особи, які повинні впроваджувати або виконувати ці вимоги, оцінюється вище середнього.</w:t>
      </w:r>
    </w:p>
    <w:p w14:paraId="71E7E016" w14:textId="29AC65A9" w:rsidR="00922602" w:rsidRPr="006A1B4F" w:rsidRDefault="00312A85" w:rsidP="001B12B1">
      <w:pPr>
        <w:pStyle w:val="10"/>
        <w:shd w:val="clear" w:color="auto" w:fill="FFFFFF"/>
        <w:ind w:firstLine="709"/>
        <w:jc w:val="both"/>
        <w:rPr>
          <w:rFonts w:asciiTheme="majorBidi" w:hAnsiTheme="majorBidi" w:cstheme="majorBidi"/>
        </w:rPr>
      </w:pPr>
      <w:proofErr w:type="spellStart"/>
      <w:r w:rsidRPr="006A1B4F">
        <w:rPr>
          <w:rFonts w:asciiTheme="majorBidi" w:eastAsia="Times New Roman" w:hAnsiTheme="majorBidi" w:cstheme="majorBidi"/>
          <w:color w:val="000000"/>
        </w:rPr>
        <w:t>Проєкт</w:t>
      </w:r>
      <w:proofErr w:type="spellEnd"/>
      <w:r w:rsidRPr="006A1B4F">
        <w:rPr>
          <w:rFonts w:asciiTheme="majorBidi" w:eastAsia="Times New Roman" w:hAnsiTheme="majorBidi" w:cstheme="majorBidi"/>
          <w:color w:val="000000"/>
        </w:rPr>
        <w:t xml:space="preserve"> рішення не містить дискримінаційних або таких, що обмежують конкуренцію норм.</w:t>
      </w:r>
    </w:p>
    <w:p w14:paraId="7A0FC8E5" w14:textId="77777777" w:rsidR="00922602" w:rsidRPr="006A1B4F" w:rsidRDefault="00312A85" w:rsidP="001B12B1">
      <w:pPr>
        <w:pStyle w:val="10"/>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lastRenderedPageBreak/>
        <w:t xml:space="preserve">Державний контроль за додержанням вимог цього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буде здійснюватися органами виконавчої влади у межах їх компетенції відповідно до законодавства.</w:t>
      </w:r>
      <w:bookmarkStart w:id="10" w:name="1t3h5sf" w:colFirst="0" w:colLast="0"/>
      <w:bookmarkEnd w:id="10"/>
    </w:p>
    <w:p w14:paraId="1D8E356B" w14:textId="600654C1" w:rsidR="00134815" w:rsidRPr="006A1B4F" w:rsidRDefault="00FC68D6"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color w:val="000000"/>
        </w:rPr>
        <w:t>Прийняття регуляторного акту не потребує</w:t>
      </w:r>
      <w:r w:rsidR="009D1E73"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додаткових витрат</w:t>
      </w:r>
      <w:r w:rsidR="009D1E73" w:rsidRPr="006A1B4F">
        <w:rPr>
          <w:rFonts w:asciiTheme="majorBidi" w:eastAsia="Times New Roman" w:hAnsiTheme="majorBidi" w:cstheme="majorBidi"/>
          <w:color w:val="000000"/>
        </w:rPr>
        <w:t xml:space="preserve"> з місцевого бюджету.</w:t>
      </w:r>
    </w:p>
    <w:p w14:paraId="4A9B0096" w14:textId="77777777" w:rsidR="00922602" w:rsidRPr="006A1B4F" w:rsidRDefault="00922602" w:rsidP="001B12B1">
      <w:pPr>
        <w:pStyle w:val="10"/>
        <w:shd w:val="clear" w:color="auto" w:fill="FFFFFF"/>
        <w:ind w:firstLine="709"/>
        <w:jc w:val="both"/>
        <w:rPr>
          <w:rFonts w:asciiTheme="majorBidi" w:eastAsia="Times New Roman" w:hAnsiTheme="majorBidi" w:cstheme="majorBidi"/>
          <w:color w:val="000000"/>
        </w:rPr>
      </w:pPr>
    </w:p>
    <w:p w14:paraId="37725D06" w14:textId="77777777" w:rsidR="00922602" w:rsidRPr="006A1B4F" w:rsidRDefault="00312A85" w:rsidP="001B12B1">
      <w:pPr>
        <w:pStyle w:val="10"/>
        <w:shd w:val="clear" w:color="auto" w:fill="FFFFFF"/>
        <w:ind w:firstLine="709"/>
        <w:jc w:val="both"/>
        <w:rPr>
          <w:rFonts w:asciiTheme="majorBidi" w:hAnsiTheme="majorBidi" w:cstheme="majorBidi"/>
        </w:rPr>
      </w:pPr>
      <w:r w:rsidRPr="006A1B4F">
        <w:rPr>
          <w:rFonts w:asciiTheme="majorBidi" w:eastAsia="Times New Roman" w:hAnsiTheme="majorBidi" w:cstheme="majorBidi"/>
          <w:b/>
        </w:rPr>
        <w:t xml:space="preserve">VII. Обґрунтування запропонованого строку дії регуляторного </w:t>
      </w:r>
      <w:proofErr w:type="spellStart"/>
      <w:r w:rsidRPr="006A1B4F">
        <w:rPr>
          <w:rFonts w:asciiTheme="majorBidi" w:eastAsia="Times New Roman" w:hAnsiTheme="majorBidi" w:cstheme="majorBidi"/>
          <w:b/>
        </w:rPr>
        <w:t>акта</w:t>
      </w:r>
      <w:proofErr w:type="spellEnd"/>
    </w:p>
    <w:p w14:paraId="3967838D" w14:textId="77777777"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Строк дії цього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 постійною.</w:t>
      </w:r>
    </w:p>
    <w:p w14:paraId="532E7FEE" w14:textId="77777777" w:rsidR="00922602" w:rsidRPr="006A1B4F" w:rsidRDefault="00312A85" w:rsidP="001B12B1">
      <w:pPr>
        <w:pStyle w:val="10"/>
        <w:pBdr>
          <w:top w:val="nil"/>
          <w:left w:val="nil"/>
          <w:bottom w:val="nil"/>
          <w:right w:val="nil"/>
          <w:between w:val="nil"/>
        </w:pBdr>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При внесенні змін до чинного законодавства, що можуть вплинути на дію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до нього будуть внесені відповідні корективи в установленому порядку.</w:t>
      </w:r>
    </w:p>
    <w:p w14:paraId="39EEA0C8" w14:textId="77777777" w:rsidR="00922602" w:rsidRPr="006A1B4F" w:rsidRDefault="00922602" w:rsidP="001B12B1">
      <w:pPr>
        <w:pStyle w:val="10"/>
        <w:widowControl/>
        <w:ind w:firstLine="400"/>
        <w:jc w:val="both"/>
        <w:rPr>
          <w:rFonts w:asciiTheme="majorBidi" w:eastAsia="System" w:hAnsiTheme="majorBidi" w:cstheme="majorBidi"/>
          <w:b/>
          <w:i/>
          <w:color w:val="000000"/>
        </w:rPr>
      </w:pPr>
      <w:bookmarkStart w:id="11" w:name="4d34og8" w:colFirst="0" w:colLast="0"/>
      <w:bookmarkEnd w:id="11"/>
    </w:p>
    <w:p w14:paraId="129AF1E6" w14:textId="77777777" w:rsidR="00922602" w:rsidRPr="006A1B4F" w:rsidRDefault="00312A85" w:rsidP="005016D9">
      <w:pPr>
        <w:pStyle w:val="10"/>
        <w:keepNext/>
        <w:keepLines/>
        <w:pBdr>
          <w:top w:val="nil"/>
          <w:left w:val="nil"/>
          <w:bottom w:val="nil"/>
          <w:right w:val="nil"/>
          <w:between w:val="nil"/>
        </w:pBdr>
        <w:tabs>
          <w:tab w:val="left" w:pos="1154"/>
        </w:tabs>
        <w:ind w:firstLine="709"/>
        <w:jc w:val="center"/>
        <w:rPr>
          <w:rFonts w:asciiTheme="majorBidi" w:eastAsia="Times New Roman" w:hAnsiTheme="majorBidi" w:cstheme="majorBidi"/>
          <w:b/>
          <w:color w:val="000000"/>
        </w:rPr>
      </w:pPr>
      <w:bookmarkStart w:id="12" w:name="2s8eyo1" w:colFirst="0" w:colLast="0"/>
      <w:bookmarkStart w:id="13" w:name="17dp8vu" w:colFirst="0" w:colLast="0"/>
      <w:bookmarkEnd w:id="12"/>
      <w:bookmarkEnd w:id="13"/>
      <w:r w:rsidRPr="006A1B4F">
        <w:rPr>
          <w:rFonts w:asciiTheme="majorBidi" w:eastAsia="Times New Roman" w:hAnsiTheme="majorBidi" w:cstheme="majorBidi"/>
          <w:b/>
          <w:color w:val="000000"/>
        </w:rPr>
        <w:t xml:space="preserve">VIIІ. Визначення показників результативності дії регуляторного </w:t>
      </w:r>
      <w:proofErr w:type="spellStart"/>
      <w:r w:rsidRPr="006A1B4F">
        <w:rPr>
          <w:rFonts w:asciiTheme="majorBidi" w:eastAsia="Times New Roman" w:hAnsiTheme="majorBidi" w:cstheme="majorBidi"/>
          <w:b/>
          <w:color w:val="000000"/>
        </w:rPr>
        <w:t>акта</w:t>
      </w:r>
      <w:proofErr w:type="spellEnd"/>
    </w:p>
    <w:p w14:paraId="0367D889" w14:textId="77777777" w:rsidR="005016D9" w:rsidRPr="006A1B4F" w:rsidRDefault="005016D9" w:rsidP="005016D9">
      <w:pPr>
        <w:pStyle w:val="10"/>
        <w:pBdr>
          <w:top w:val="nil"/>
          <w:left w:val="nil"/>
          <w:bottom w:val="nil"/>
          <w:right w:val="nil"/>
          <w:between w:val="nil"/>
        </w:pBdr>
        <w:shd w:val="clear" w:color="auto" w:fill="FFFFFF"/>
        <w:ind w:firstLine="709"/>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Обов’язковими показниками результативності запропонованого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w:t>
      </w:r>
    </w:p>
    <w:p w14:paraId="60EEABF5" w14:textId="280B7509" w:rsidR="005016D9" w:rsidRPr="006A1B4F" w:rsidRDefault="009D1E73" w:rsidP="005016D9">
      <w:pPr>
        <w:pStyle w:val="10"/>
        <w:pBdr>
          <w:top w:val="nil"/>
          <w:left w:val="nil"/>
          <w:bottom w:val="nil"/>
          <w:right w:val="nil"/>
          <w:between w:val="nil"/>
        </w:pBdr>
        <w:shd w:val="clear" w:color="auto" w:fill="FFFFFF"/>
        <w:ind w:firstLine="709"/>
        <w:rPr>
          <w:rFonts w:asciiTheme="majorBidi" w:eastAsia="Times New Roman" w:hAnsiTheme="majorBidi" w:cstheme="majorBidi"/>
          <w:color w:val="000000"/>
        </w:rPr>
      </w:pPr>
      <w:r w:rsidRPr="006A1B4F">
        <w:rPr>
          <w:rFonts w:asciiTheme="majorBidi" w:eastAsia="Times New Roman" w:hAnsiTheme="majorBidi" w:cstheme="majorBidi"/>
          <w:color w:val="000000"/>
        </w:rPr>
        <w:t>- раціональність та ефективне</w:t>
      </w:r>
      <w:r w:rsidR="005016D9"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використання коштів</w:t>
      </w:r>
      <w:r w:rsidR="005016D9" w:rsidRPr="006A1B4F">
        <w:rPr>
          <w:rFonts w:asciiTheme="majorBidi" w:eastAsia="Times New Roman" w:hAnsiTheme="majorBidi" w:cstheme="majorBidi"/>
          <w:color w:val="000000"/>
        </w:rPr>
        <w:t xml:space="preserve"> місцевого бюджету,  пов’язаних з дією </w:t>
      </w:r>
      <w:proofErr w:type="spellStart"/>
      <w:r w:rsidR="005016D9" w:rsidRPr="006A1B4F">
        <w:rPr>
          <w:rFonts w:asciiTheme="majorBidi" w:eastAsia="Times New Roman" w:hAnsiTheme="majorBidi" w:cstheme="majorBidi"/>
          <w:color w:val="000000"/>
        </w:rPr>
        <w:t>акта</w:t>
      </w:r>
      <w:proofErr w:type="spellEnd"/>
      <w:r w:rsidR="005016D9" w:rsidRPr="006A1B4F">
        <w:rPr>
          <w:rFonts w:asciiTheme="majorBidi" w:eastAsia="Times New Roman" w:hAnsiTheme="majorBidi" w:cstheme="majorBidi"/>
          <w:color w:val="000000"/>
        </w:rPr>
        <w:t>;</w:t>
      </w:r>
    </w:p>
    <w:p w14:paraId="3F6D9DE5" w14:textId="1F43FDCB" w:rsidR="005016D9" w:rsidRPr="006A1B4F" w:rsidRDefault="005016D9" w:rsidP="005016D9">
      <w:pPr>
        <w:pStyle w:val="10"/>
        <w:pBdr>
          <w:top w:val="nil"/>
          <w:left w:val="nil"/>
          <w:bottom w:val="nil"/>
          <w:right w:val="nil"/>
          <w:between w:val="nil"/>
        </w:pBdr>
        <w:shd w:val="clear" w:color="auto" w:fill="FFFFFF"/>
        <w:ind w:firstLine="709"/>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 кількість суб’єктів господарювання та/або фізичних осіб, на яких поширюватиметься дія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58D6A537" w14:textId="654CF8CB"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 розмір коштів, що витрачаються суб’єктами господарювання та/або фізичними особами, пов’язаними з виконанням вимог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67B7A507" w14:textId="4F26810C"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 час, що витрачається суб’єктами господарювання та/або фізичними особами, пов’язаними з виконанням вимог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1FB7CBFB" w14:textId="6BC5813E"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 рівень поінформованості суб’єктів господарювання та/або фізичних осіб стосовно основних положень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6919210A" w14:textId="77777777"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Додатковими показниками результативності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є:</w:t>
      </w:r>
    </w:p>
    <w:p w14:paraId="46F89433" w14:textId="0C645CBF"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кількість договорів оренди, під час укладення яких застосовувалась Методика розрахунку орендної плати за майно комунальної власності Авангардівської селищної територіальної громади;</w:t>
      </w:r>
    </w:p>
    <w:p w14:paraId="267A4448" w14:textId="753E7960"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кількість договорів оренди, під час внесення змін до яких застосовувалась Методика розрахунку орендної плати за майно комунальної власності Авангардівської селищної територіальної громади.</w:t>
      </w:r>
    </w:p>
    <w:p w14:paraId="259A0396" w14:textId="6D9032BA" w:rsidR="005016D9"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Зміни, що пропонуються, поширюватимуться на орендарів та орендодавців майна комунальної власності Авангардівської селищної територіальної громади  всіх організаційно-правових форм.</w:t>
      </w:r>
    </w:p>
    <w:p w14:paraId="30B60AC1" w14:textId="4B966CBF" w:rsidR="00922602" w:rsidRPr="006A1B4F" w:rsidRDefault="005016D9" w:rsidP="005016D9">
      <w:pPr>
        <w:pStyle w:val="10"/>
        <w:pBdr>
          <w:top w:val="nil"/>
          <w:left w:val="nil"/>
          <w:bottom w:val="nil"/>
          <w:right w:val="nil"/>
          <w:between w:val="nil"/>
        </w:pBdr>
        <w:shd w:val="clear" w:color="auto" w:fill="FFFFFF"/>
        <w:ind w:firstLine="70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Проект</w:t>
      </w:r>
      <w:r w:rsidR="009D1E73" w:rsidRPr="006A1B4F">
        <w:rPr>
          <w:rFonts w:asciiTheme="majorBidi" w:eastAsia="Times New Roman" w:hAnsiTheme="majorBidi" w:cstheme="majorBidi"/>
          <w:color w:val="000000"/>
        </w:rPr>
        <w:t xml:space="preserve"> регуляторного акту</w:t>
      </w:r>
      <w:r w:rsidRPr="006A1B4F">
        <w:rPr>
          <w:rFonts w:asciiTheme="majorBidi" w:eastAsia="Times New Roman" w:hAnsiTheme="majorBidi" w:cstheme="majorBidi"/>
          <w:color w:val="000000"/>
        </w:rPr>
        <w:t xml:space="preserve"> було оприлюднено з метою обговорення та отримання від суб'єктів господарювання зауважень та пропозицій.</w:t>
      </w:r>
      <w:r w:rsidRPr="006A1B4F">
        <w:rPr>
          <w:rFonts w:asciiTheme="majorBidi" w:eastAsia="Times New Roman" w:hAnsiTheme="majorBidi" w:cstheme="majorBidi"/>
          <w:color w:val="000000"/>
        </w:rPr>
        <w:cr/>
      </w:r>
    </w:p>
    <w:p w14:paraId="52C7530C" w14:textId="77777777"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b/>
          <w:color w:val="000000"/>
        </w:rPr>
        <w:t xml:space="preserve">ІХ. Визначення заходів, за допомогою яких здійснюватиметься відстеження результативності дії регуляторного </w:t>
      </w:r>
      <w:proofErr w:type="spellStart"/>
      <w:r w:rsidRPr="006A1B4F">
        <w:rPr>
          <w:rFonts w:asciiTheme="majorBidi" w:eastAsia="Times New Roman" w:hAnsiTheme="majorBidi" w:cstheme="majorBidi"/>
          <w:b/>
          <w:color w:val="000000"/>
        </w:rPr>
        <w:t>акта</w:t>
      </w:r>
      <w:proofErr w:type="spellEnd"/>
    </w:p>
    <w:p w14:paraId="43C9D165" w14:textId="77777777" w:rsidR="00922602" w:rsidRPr="006A1B4F" w:rsidRDefault="00922602"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p>
    <w:p w14:paraId="3072E7F5" w14:textId="141A6BBA"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Відстеження результативності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буде здійснюватися </w:t>
      </w:r>
      <w:proofErr w:type="spellStart"/>
      <w:r w:rsidR="006C4C68" w:rsidRPr="006A1B4F">
        <w:rPr>
          <w:rFonts w:asciiTheme="majorBidi" w:eastAsia="Times New Roman" w:hAnsiTheme="majorBidi" w:cstheme="majorBidi"/>
          <w:color w:val="000000"/>
        </w:rPr>
        <w:t>Авангардівською</w:t>
      </w:r>
      <w:proofErr w:type="spellEnd"/>
      <w:r w:rsidR="006C4C68" w:rsidRPr="006A1B4F">
        <w:rPr>
          <w:rFonts w:asciiTheme="majorBidi" w:eastAsia="Times New Roman" w:hAnsiTheme="majorBidi" w:cstheme="majorBidi"/>
          <w:color w:val="000000"/>
        </w:rPr>
        <w:t xml:space="preserve"> селищною радою</w:t>
      </w:r>
      <w:r w:rsidRPr="006A1B4F">
        <w:rPr>
          <w:rFonts w:asciiTheme="majorBidi" w:eastAsia="Times New Roman" w:hAnsiTheme="majorBidi" w:cstheme="majorBidi"/>
          <w:color w:val="000000"/>
        </w:rPr>
        <w:t xml:space="preserve">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затвердженої постановою Кабінету Міністрів України від 11.03.2004 № 308 «Про затвердження </w:t>
      </w:r>
      <w:proofErr w:type="spellStart"/>
      <w:r w:rsidRPr="006A1B4F">
        <w:rPr>
          <w:rFonts w:asciiTheme="majorBidi" w:eastAsia="Times New Roman" w:hAnsiTheme="majorBidi" w:cstheme="majorBidi"/>
          <w:color w:val="000000"/>
        </w:rPr>
        <w:t>методик</w:t>
      </w:r>
      <w:proofErr w:type="spellEnd"/>
      <w:r w:rsidRPr="006A1B4F">
        <w:rPr>
          <w:rFonts w:asciiTheme="majorBidi" w:eastAsia="Times New Roman" w:hAnsiTheme="majorBidi" w:cstheme="majorBidi"/>
          <w:color w:val="000000"/>
        </w:rPr>
        <w:t xml:space="preserve"> проведення аналізу впливу та відстеження резул</w:t>
      </w:r>
      <w:r w:rsidR="00536C0E" w:rsidRPr="006A1B4F">
        <w:rPr>
          <w:rFonts w:asciiTheme="majorBidi" w:eastAsia="Times New Roman" w:hAnsiTheme="majorBidi" w:cstheme="majorBidi"/>
          <w:color w:val="000000"/>
        </w:rPr>
        <w:t xml:space="preserve">ьтативності регуляторного </w:t>
      </w:r>
      <w:proofErr w:type="spellStart"/>
      <w:r w:rsidR="00536C0E" w:rsidRPr="006A1B4F">
        <w:rPr>
          <w:rFonts w:asciiTheme="majorBidi" w:eastAsia="Times New Roman" w:hAnsiTheme="majorBidi" w:cstheme="majorBidi"/>
          <w:color w:val="000000"/>
        </w:rPr>
        <w:t>акта</w:t>
      </w:r>
      <w:proofErr w:type="spellEnd"/>
      <w:r w:rsidR="00536C0E" w:rsidRPr="006A1B4F">
        <w:rPr>
          <w:rFonts w:asciiTheme="majorBidi" w:eastAsia="Times New Roman" w:hAnsiTheme="majorBidi" w:cstheme="majorBidi"/>
          <w:color w:val="000000"/>
        </w:rPr>
        <w:t>».</w:t>
      </w:r>
    </w:p>
    <w:p w14:paraId="43397ACB" w14:textId="77777777"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Базове відстеження результативності буде проведено до дня набрання чинності запропонованого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повторне відстеження – через рік з дня набрання чинності, але не пізніше двох років з дня набрання чинності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0F28A0F4" w14:textId="77777777"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Періодичне відстеження результативності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буде здійснюватися раз на кожні три роки, починаючи з дня закінчення заходів з повторного відстеження результативності цього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w:t>
      </w:r>
    </w:p>
    <w:p w14:paraId="24B37700" w14:textId="77777777" w:rsidR="00922602" w:rsidRPr="006A1B4F" w:rsidRDefault="00312A85" w:rsidP="001B12B1">
      <w:pPr>
        <w:pStyle w:val="10"/>
        <w:pBdr>
          <w:top w:val="nil"/>
          <w:left w:val="nil"/>
          <w:bottom w:val="nil"/>
          <w:right w:val="nil"/>
          <w:between w:val="nil"/>
        </w:pBdr>
        <w:shd w:val="clear" w:color="auto" w:fill="FFFFFF"/>
        <w:ind w:firstLine="799"/>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lastRenderedPageBreak/>
        <w:t xml:space="preserve">Відстеження результативності даного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буде здійснюватися статистичним методом.</w:t>
      </w:r>
    </w:p>
    <w:p w14:paraId="13E903FC" w14:textId="77777777" w:rsidR="00922602" w:rsidRPr="006A1B4F" w:rsidRDefault="00922602" w:rsidP="001B12B1">
      <w:pPr>
        <w:pStyle w:val="10"/>
        <w:pBdr>
          <w:top w:val="nil"/>
          <w:left w:val="nil"/>
          <w:bottom w:val="nil"/>
          <w:right w:val="nil"/>
          <w:between w:val="nil"/>
        </w:pBdr>
        <w:ind w:firstLine="740"/>
        <w:jc w:val="center"/>
        <w:rPr>
          <w:rFonts w:asciiTheme="majorBidi" w:eastAsia="Times New Roman" w:hAnsiTheme="majorBidi" w:cstheme="majorBidi"/>
          <w:i/>
          <w:color w:val="000000"/>
        </w:rPr>
      </w:pPr>
    </w:p>
    <w:p w14:paraId="6D4A8AE0" w14:textId="77777777" w:rsidR="00922602" w:rsidRPr="006A1B4F" w:rsidRDefault="00312A85" w:rsidP="001B12B1">
      <w:pPr>
        <w:pStyle w:val="10"/>
        <w:pBdr>
          <w:top w:val="nil"/>
          <w:left w:val="nil"/>
          <w:bottom w:val="nil"/>
          <w:right w:val="nil"/>
          <w:between w:val="nil"/>
        </w:pBdr>
        <w:tabs>
          <w:tab w:val="left" w:pos="1630"/>
        </w:tabs>
        <w:jc w:val="center"/>
        <w:rPr>
          <w:rFonts w:asciiTheme="majorBidi" w:eastAsia="Times New Roman" w:hAnsiTheme="majorBidi" w:cstheme="majorBidi"/>
          <w:b/>
          <w:color w:val="000000"/>
        </w:rPr>
      </w:pPr>
      <w:r w:rsidRPr="006A1B4F">
        <w:rPr>
          <w:rFonts w:asciiTheme="majorBidi" w:eastAsia="Times New Roman" w:hAnsiTheme="majorBidi" w:cstheme="majorBidi"/>
          <w:b/>
          <w:color w:val="000000"/>
        </w:rPr>
        <w:t xml:space="preserve">ІХ. Визначення заходів, за допомогою яких здійснюватиметься відстеження результативності дії регуляторного </w:t>
      </w:r>
      <w:proofErr w:type="spellStart"/>
      <w:r w:rsidRPr="006A1B4F">
        <w:rPr>
          <w:rFonts w:asciiTheme="majorBidi" w:eastAsia="Times New Roman" w:hAnsiTheme="majorBidi" w:cstheme="majorBidi"/>
          <w:b/>
          <w:color w:val="000000"/>
        </w:rPr>
        <w:t>акта</w:t>
      </w:r>
      <w:proofErr w:type="spellEnd"/>
    </w:p>
    <w:p w14:paraId="5FBE9348" w14:textId="6B1DB0DF" w:rsidR="00922602" w:rsidRPr="006A1B4F" w:rsidRDefault="00312A85" w:rsidP="00063562">
      <w:pPr>
        <w:pStyle w:val="10"/>
        <w:pBdr>
          <w:top w:val="nil"/>
          <w:left w:val="nil"/>
          <w:bottom w:val="nil"/>
          <w:right w:val="nil"/>
          <w:between w:val="nil"/>
        </w:pBdr>
        <w:ind w:left="68" w:firstLine="78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Базове відстеження результативності 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буде</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здійснюватися</w:t>
      </w:r>
      <w:r w:rsidR="00F30D8A" w:rsidRPr="006A1B4F">
        <w:rPr>
          <w:rFonts w:asciiTheme="majorBidi" w:eastAsia="Times New Roman" w:hAnsiTheme="majorBidi" w:cstheme="majorBidi"/>
          <w:color w:val="000000"/>
        </w:rPr>
        <w:t xml:space="preserve"> </w:t>
      </w:r>
      <w:proofErr w:type="spellStart"/>
      <w:r w:rsidR="006C4C68" w:rsidRPr="006A1B4F">
        <w:rPr>
          <w:rFonts w:asciiTheme="majorBidi" w:eastAsia="Times New Roman" w:hAnsiTheme="majorBidi" w:cstheme="majorBidi"/>
          <w:color w:val="000000"/>
        </w:rPr>
        <w:t>Авангардівською</w:t>
      </w:r>
      <w:proofErr w:type="spellEnd"/>
      <w:r w:rsidR="006C4C68" w:rsidRPr="006A1B4F">
        <w:rPr>
          <w:rFonts w:asciiTheme="majorBidi" w:eastAsia="Times New Roman" w:hAnsiTheme="majorBidi" w:cstheme="majorBidi"/>
          <w:color w:val="000000"/>
        </w:rPr>
        <w:t xml:space="preserve"> селищною радою  </w:t>
      </w:r>
      <w:r w:rsidRPr="006A1B4F">
        <w:rPr>
          <w:rFonts w:asciiTheme="majorBidi" w:eastAsia="Times New Roman" w:hAnsiTheme="majorBidi" w:cstheme="majorBidi"/>
          <w:color w:val="000000"/>
        </w:rPr>
        <w:t>через один рік набрання чинності рішення статистичним методом шляхом</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 xml:space="preserve">аналізу даних, що наявні в </w:t>
      </w:r>
      <w:proofErr w:type="spellStart"/>
      <w:r w:rsidR="006C4C68" w:rsidRPr="006A1B4F">
        <w:rPr>
          <w:rFonts w:asciiTheme="majorBidi" w:eastAsia="Times New Roman" w:hAnsiTheme="majorBidi" w:cstheme="majorBidi"/>
          <w:color w:val="000000"/>
        </w:rPr>
        <w:t>Авангардівській</w:t>
      </w:r>
      <w:proofErr w:type="spellEnd"/>
      <w:r w:rsidR="006C4C68" w:rsidRPr="006A1B4F">
        <w:rPr>
          <w:rFonts w:asciiTheme="majorBidi" w:eastAsia="Times New Roman" w:hAnsiTheme="majorBidi" w:cstheme="majorBidi"/>
          <w:color w:val="000000"/>
        </w:rPr>
        <w:t xml:space="preserve"> селищній раді</w:t>
      </w:r>
      <w:r w:rsidRPr="006A1B4F">
        <w:rPr>
          <w:rFonts w:asciiTheme="majorBidi" w:eastAsia="Times New Roman" w:hAnsiTheme="majorBidi" w:cstheme="majorBidi"/>
          <w:color w:val="000000"/>
        </w:rPr>
        <w:t>.</w:t>
      </w:r>
    </w:p>
    <w:p w14:paraId="2D251E2E" w14:textId="74F8B107" w:rsidR="00922602" w:rsidRPr="006A1B4F" w:rsidRDefault="00312A85" w:rsidP="00063562">
      <w:pPr>
        <w:pStyle w:val="10"/>
        <w:pBdr>
          <w:top w:val="nil"/>
          <w:left w:val="nil"/>
          <w:bottom w:val="nil"/>
          <w:right w:val="nil"/>
          <w:between w:val="nil"/>
        </w:pBdr>
        <w:ind w:left="68" w:firstLine="78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Повторне відстеження результативності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передбачається здійснити</w:t>
      </w:r>
      <w:r w:rsidR="00063562" w:rsidRPr="006A1B4F">
        <w:rPr>
          <w:rFonts w:asciiTheme="majorBidi" w:eastAsia="Times New Roman" w:hAnsiTheme="majorBidi" w:cstheme="majorBidi"/>
          <w:color w:val="000000"/>
        </w:rPr>
        <w:t xml:space="preserve"> </w:t>
      </w:r>
      <w:proofErr w:type="spellStart"/>
      <w:r w:rsidR="006C4C68" w:rsidRPr="006A1B4F">
        <w:rPr>
          <w:rFonts w:asciiTheme="majorBidi" w:eastAsia="Times New Roman" w:hAnsiTheme="majorBidi" w:cstheme="majorBidi"/>
          <w:color w:val="000000"/>
        </w:rPr>
        <w:t>Авангардівською</w:t>
      </w:r>
      <w:proofErr w:type="spellEnd"/>
      <w:r w:rsidR="006C4C68" w:rsidRPr="006A1B4F">
        <w:rPr>
          <w:rFonts w:asciiTheme="majorBidi" w:eastAsia="Times New Roman" w:hAnsiTheme="majorBidi" w:cstheme="majorBidi"/>
          <w:color w:val="000000"/>
        </w:rPr>
        <w:t xml:space="preserve"> селищною радою </w:t>
      </w:r>
      <w:r w:rsidRPr="006A1B4F">
        <w:rPr>
          <w:rFonts w:asciiTheme="majorBidi" w:eastAsia="Times New Roman" w:hAnsiTheme="majorBidi" w:cstheme="majorBidi"/>
          <w:color w:val="000000"/>
        </w:rPr>
        <w:t>через</w:t>
      </w:r>
      <w:r w:rsidR="00F30D8A"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два роки з</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 xml:space="preserve">дня набрання чинності цього </w:t>
      </w:r>
      <w:r w:rsidR="006C4C68"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 xml:space="preserve">регуляторного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шляхом аналізу статистичних</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даних порівняно з базовим від стеженням.</w:t>
      </w:r>
    </w:p>
    <w:p w14:paraId="04038935" w14:textId="03DC7EA8" w:rsidR="00922602" w:rsidRPr="006A1B4F" w:rsidRDefault="00312A85" w:rsidP="00063562">
      <w:pPr>
        <w:pStyle w:val="10"/>
        <w:pBdr>
          <w:top w:val="nil"/>
          <w:left w:val="nil"/>
          <w:bottom w:val="nil"/>
          <w:right w:val="nil"/>
          <w:between w:val="nil"/>
        </w:pBdr>
        <w:ind w:left="68" w:firstLine="78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 xml:space="preserve">Періодичні відстеження результативності регуляторного </w:t>
      </w:r>
      <w:proofErr w:type="spellStart"/>
      <w:r w:rsidRPr="006A1B4F">
        <w:rPr>
          <w:rFonts w:asciiTheme="majorBidi" w:eastAsia="Times New Roman" w:hAnsiTheme="majorBidi" w:cstheme="majorBidi"/>
          <w:color w:val="000000"/>
        </w:rPr>
        <w:t>акта</w:t>
      </w:r>
      <w:proofErr w:type="spellEnd"/>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 xml:space="preserve">здійснюватимуться </w:t>
      </w:r>
      <w:proofErr w:type="spellStart"/>
      <w:r w:rsidR="006C4C68" w:rsidRPr="006A1B4F">
        <w:rPr>
          <w:rFonts w:asciiTheme="majorBidi" w:eastAsia="Times New Roman" w:hAnsiTheme="majorBidi" w:cstheme="majorBidi"/>
          <w:color w:val="000000"/>
        </w:rPr>
        <w:t>Авангардівською</w:t>
      </w:r>
      <w:proofErr w:type="spellEnd"/>
      <w:r w:rsidR="006C4C68" w:rsidRPr="006A1B4F">
        <w:rPr>
          <w:rFonts w:asciiTheme="majorBidi" w:eastAsia="Times New Roman" w:hAnsiTheme="majorBidi" w:cstheme="majorBidi"/>
          <w:color w:val="000000"/>
        </w:rPr>
        <w:t xml:space="preserve"> селищною радою </w:t>
      </w:r>
      <w:r w:rsidRPr="006A1B4F">
        <w:rPr>
          <w:rFonts w:asciiTheme="majorBidi" w:eastAsia="Times New Roman" w:hAnsiTheme="majorBidi" w:cstheme="majorBidi"/>
          <w:color w:val="000000"/>
        </w:rPr>
        <w:t>раз на кожні три роки починаючи з дня закінчення заходів з повторного</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 xml:space="preserve">відстеження результативності цього </w:t>
      </w:r>
      <w:proofErr w:type="spellStart"/>
      <w:r w:rsidRPr="006A1B4F">
        <w:rPr>
          <w:rFonts w:asciiTheme="majorBidi" w:eastAsia="Times New Roman" w:hAnsiTheme="majorBidi" w:cstheme="majorBidi"/>
          <w:color w:val="000000"/>
        </w:rPr>
        <w:t>акта</w:t>
      </w:r>
      <w:proofErr w:type="spellEnd"/>
      <w:r w:rsidRPr="006A1B4F">
        <w:rPr>
          <w:rFonts w:asciiTheme="majorBidi" w:eastAsia="Times New Roman" w:hAnsiTheme="majorBidi" w:cstheme="majorBidi"/>
          <w:color w:val="000000"/>
        </w:rPr>
        <w:t xml:space="preserve"> шляхом аналізу статистичних даних</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порівняно з базовим відстеженням.</w:t>
      </w:r>
    </w:p>
    <w:p w14:paraId="16B3561A" w14:textId="3CF3993F" w:rsidR="00922602" w:rsidRPr="006A1B4F" w:rsidRDefault="00312A85" w:rsidP="00063562">
      <w:pPr>
        <w:pStyle w:val="10"/>
        <w:pBdr>
          <w:top w:val="nil"/>
          <w:left w:val="nil"/>
          <w:bottom w:val="nil"/>
          <w:right w:val="nil"/>
          <w:between w:val="nil"/>
        </w:pBdr>
        <w:ind w:left="68" w:firstLine="780"/>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У разі надходження пропозицій та зауважень щодо вирішення</w:t>
      </w:r>
      <w:r w:rsidR="00063562" w:rsidRPr="006A1B4F">
        <w:rPr>
          <w:rFonts w:asciiTheme="majorBidi" w:eastAsia="Times New Roman" w:hAnsiTheme="majorBidi" w:cstheme="majorBidi"/>
          <w:color w:val="000000"/>
        </w:rPr>
        <w:t xml:space="preserve"> </w:t>
      </w:r>
      <w:r w:rsidRPr="006A1B4F">
        <w:rPr>
          <w:rFonts w:asciiTheme="majorBidi" w:eastAsia="Times New Roman" w:hAnsiTheme="majorBidi" w:cstheme="majorBidi"/>
          <w:color w:val="000000"/>
        </w:rPr>
        <w:t>неврегульованих або проблемних питань розглядатиметься необхідність</w:t>
      </w:r>
      <w:r w:rsidR="006C4C68" w:rsidRPr="006A1B4F">
        <w:rPr>
          <w:rFonts w:asciiTheme="majorBidi" w:eastAsia="Times New Roman" w:hAnsiTheme="majorBidi" w:cstheme="majorBidi"/>
          <w:color w:val="000000"/>
        </w:rPr>
        <w:t xml:space="preserve"> </w:t>
      </w:r>
    </w:p>
    <w:p w14:paraId="78FADE7C" w14:textId="77777777" w:rsidR="00922602" w:rsidRPr="006A1B4F" w:rsidRDefault="00312A85" w:rsidP="001B12B1">
      <w:pPr>
        <w:pStyle w:val="10"/>
        <w:pBdr>
          <w:top w:val="nil"/>
          <w:left w:val="nil"/>
          <w:bottom w:val="nil"/>
          <w:right w:val="nil"/>
          <w:between w:val="nil"/>
        </w:pBdr>
        <w:ind w:left="68" w:right="4262"/>
        <w:jc w:val="both"/>
        <w:rPr>
          <w:rFonts w:asciiTheme="majorBidi" w:eastAsia="Times New Roman" w:hAnsiTheme="majorBidi" w:cstheme="majorBidi"/>
          <w:color w:val="000000"/>
        </w:rPr>
      </w:pPr>
      <w:r w:rsidRPr="006A1B4F">
        <w:rPr>
          <w:rFonts w:asciiTheme="majorBidi" w:eastAsia="Times New Roman" w:hAnsiTheme="majorBidi" w:cstheme="majorBidi"/>
          <w:color w:val="000000"/>
        </w:rPr>
        <w:t>внесення відповідних змін.</w:t>
      </w:r>
    </w:p>
    <w:sectPr w:rsidR="00922602" w:rsidRPr="006A1B4F" w:rsidSect="00922602">
      <w:pgSz w:w="11906" w:h="16838"/>
      <w:pgMar w:top="1134" w:right="851" w:bottom="1134"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1B7"/>
    <w:multiLevelType w:val="hybridMultilevel"/>
    <w:tmpl w:val="A1E2DCC4"/>
    <w:lvl w:ilvl="0" w:tplc="ED14C42E">
      <w:start w:val="1"/>
      <w:numFmt w:val="decimal"/>
      <w:lvlText w:val="%1."/>
      <w:lvlJc w:val="left"/>
      <w:pPr>
        <w:ind w:left="1180" w:hanging="360"/>
      </w:pPr>
      <w:rPr>
        <w:rFonts w:hint="default"/>
      </w:rPr>
    </w:lvl>
    <w:lvl w:ilvl="1" w:tplc="04220019" w:tentative="1">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1" w15:restartNumberingAfterBreak="0">
    <w:nsid w:val="17BC3E10"/>
    <w:multiLevelType w:val="multilevel"/>
    <w:tmpl w:val="514C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B4F74"/>
    <w:multiLevelType w:val="multilevel"/>
    <w:tmpl w:val="4D80788A"/>
    <w:lvl w:ilvl="0">
      <w:start w:val="5"/>
      <w:numFmt w:val="upperRoman"/>
      <w:lvlText w:val="%1."/>
      <w:lvlJc w:val="left"/>
      <w:pPr>
        <w:ind w:left="0" w:firstLine="0"/>
      </w:pPr>
      <w:rPr>
        <w:rFonts w:ascii="Times New Roman" w:eastAsia="Times New Roman" w:hAnsi="Times New Roman" w:cs="Times New Roman"/>
        <w:b/>
        <w:i w:val="0"/>
        <w:smallCaps w:val="0"/>
        <w:strike w:val="0"/>
        <w:color w:val="000000"/>
        <w:sz w:val="26"/>
        <w:szCs w:val="26"/>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985C88"/>
    <w:multiLevelType w:val="multilevel"/>
    <w:tmpl w:val="14F8E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3611023">
    <w:abstractNumId w:val="2"/>
  </w:num>
  <w:num w:numId="2" w16cid:durableId="1598246946">
    <w:abstractNumId w:val="0"/>
  </w:num>
  <w:num w:numId="3" w16cid:durableId="508103219">
    <w:abstractNumId w:val="3"/>
  </w:num>
  <w:num w:numId="4" w16cid:durableId="4352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02"/>
    <w:rsid w:val="00046B77"/>
    <w:rsid w:val="00063562"/>
    <w:rsid w:val="00064B59"/>
    <w:rsid w:val="000B0330"/>
    <w:rsid w:val="000F1239"/>
    <w:rsid w:val="001057C9"/>
    <w:rsid w:val="00115950"/>
    <w:rsid w:val="001234E2"/>
    <w:rsid w:val="0013283A"/>
    <w:rsid w:val="00134815"/>
    <w:rsid w:val="00175FB1"/>
    <w:rsid w:val="001B12B1"/>
    <w:rsid w:val="002A5A88"/>
    <w:rsid w:val="00312A85"/>
    <w:rsid w:val="00327E98"/>
    <w:rsid w:val="00376EEC"/>
    <w:rsid w:val="00390277"/>
    <w:rsid w:val="0039063A"/>
    <w:rsid w:val="003F0336"/>
    <w:rsid w:val="00403B20"/>
    <w:rsid w:val="00454624"/>
    <w:rsid w:val="0046617A"/>
    <w:rsid w:val="004A3E6A"/>
    <w:rsid w:val="004F1C2F"/>
    <w:rsid w:val="005016D9"/>
    <w:rsid w:val="00536C0E"/>
    <w:rsid w:val="006440E8"/>
    <w:rsid w:val="00645106"/>
    <w:rsid w:val="006A1B4F"/>
    <w:rsid w:val="006C4C68"/>
    <w:rsid w:val="006E6CAA"/>
    <w:rsid w:val="006F2474"/>
    <w:rsid w:val="00766082"/>
    <w:rsid w:val="00773B34"/>
    <w:rsid w:val="00790583"/>
    <w:rsid w:val="007B3EE7"/>
    <w:rsid w:val="007C6E87"/>
    <w:rsid w:val="008233FB"/>
    <w:rsid w:val="00873BAE"/>
    <w:rsid w:val="008B62C4"/>
    <w:rsid w:val="008D4B1F"/>
    <w:rsid w:val="008E00AB"/>
    <w:rsid w:val="00922602"/>
    <w:rsid w:val="009756F6"/>
    <w:rsid w:val="009A70DE"/>
    <w:rsid w:val="009D1E73"/>
    <w:rsid w:val="00A35D25"/>
    <w:rsid w:val="00A75CA7"/>
    <w:rsid w:val="00A849B5"/>
    <w:rsid w:val="00A876C7"/>
    <w:rsid w:val="00A95ECC"/>
    <w:rsid w:val="00AA3929"/>
    <w:rsid w:val="00AB5A6D"/>
    <w:rsid w:val="00AE689F"/>
    <w:rsid w:val="00B04F0F"/>
    <w:rsid w:val="00B13474"/>
    <w:rsid w:val="00B63EF4"/>
    <w:rsid w:val="00B67810"/>
    <w:rsid w:val="00B75274"/>
    <w:rsid w:val="00B94E24"/>
    <w:rsid w:val="00BC6DCD"/>
    <w:rsid w:val="00BD14BF"/>
    <w:rsid w:val="00C03213"/>
    <w:rsid w:val="00C561BD"/>
    <w:rsid w:val="00C57021"/>
    <w:rsid w:val="00D07BA9"/>
    <w:rsid w:val="00D55F00"/>
    <w:rsid w:val="00DA08DE"/>
    <w:rsid w:val="00DA58B0"/>
    <w:rsid w:val="00DD2B50"/>
    <w:rsid w:val="00E65106"/>
    <w:rsid w:val="00EA04C7"/>
    <w:rsid w:val="00ED28BC"/>
    <w:rsid w:val="00ED7EA8"/>
    <w:rsid w:val="00F30D8A"/>
    <w:rsid w:val="00F604D0"/>
    <w:rsid w:val="00F62E36"/>
    <w:rsid w:val="00F66CD7"/>
    <w:rsid w:val="00FA7680"/>
    <w:rsid w:val="00FC3FEC"/>
    <w:rsid w:val="00FC68D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07F"/>
  <w15:docId w15:val="{15CDCAEC-649E-4998-9ED4-8DC57FC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BAE"/>
  </w:style>
  <w:style w:type="paragraph" w:styleId="1">
    <w:name w:val="heading 1"/>
    <w:basedOn w:val="10"/>
    <w:next w:val="10"/>
    <w:rsid w:val="00922602"/>
    <w:pPr>
      <w:keepNext/>
      <w:keepLines/>
      <w:spacing w:before="480" w:after="120"/>
      <w:outlineLvl w:val="0"/>
    </w:pPr>
    <w:rPr>
      <w:b/>
      <w:sz w:val="48"/>
      <w:szCs w:val="48"/>
    </w:rPr>
  </w:style>
  <w:style w:type="paragraph" w:styleId="2">
    <w:name w:val="heading 2"/>
    <w:basedOn w:val="10"/>
    <w:next w:val="10"/>
    <w:rsid w:val="00922602"/>
    <w:pPr>
      <w:keepNext/>
      <w:keepLines/>
      <w:spacing w:before="360" w:after="80"/>
      <w:outlineLvl w:val="1"/>
    </w:pPr>
    <w:rPr>
      <w:b/>
      <w:sz w:val="36"/>
      <w:szCs w:val="36"/>
    </w:rPr>
  </w:style>
  <w:style w:type="paragraph" w:styleId="3">
    <w:name w:val="heading 3"/>
    <w:basedOn w:val="10"/>
    <w:next w:val="10"/>
    <w:rsid w:val="00922602"/>
    <w:pPr>
      <w:keepNext/>
      <w:keepLines/>
      <w:spacing w:before="280" w:after="80"/>
      <w:outlineLvl w:val="2"/>
    </w:pPr>
    <w:rPr>
      <w:b/>
      <w:sz w:val="28"/>
      <w:szCs w:val="28"/>
    </w:rPr>
  </w:style>
  <w:style w:type="paragraph" w:styleId="4">
    <w:name w:val="heading 4"/>
    <w:basedOn w:val="10"/>
    <w:next w:val="10"/>
    <w:rsid w:val="00922602"/>
    <w:pPr>
      <w:keepNext/>
      <w:keepLines/>
      <w:spacing w:before="240" w:after="40"/>
      <w:outlineLvl w:val="3"/>
    </w:pPr>
    <w:rPr>
      <w:b/>
    </w:rPr>
  </w:style>
  <w:style w:type="paragraph" w:styleId="5">
    <w:name w:val="heading 5"/>
    <w:basedOn w:val="10"/>
    <w:next w:val="10"/>
    <w:rsid w:val="00922602"/>
    <w:pPr>
      <w:keepNext/>
      <w:keepLines/>
      <w:spacing w:before="220" w:after="40"/>
      <w:outlineLvl w:val="4"/>
    </w:pPr>
    <w:rPr>
      <w:b/>
      <w:sz w:val="22"/>
      <w:szCs w:val="22"/>
    </w:rPr>
  </w:style>
  <w:style w:type="paragraph" w:styleId="6">
    <w:name w:val="heading 6"/>
    <w:basedOn w:val="10"/>
    <w:next w:val="10"/>
    <w:rsid w:val="009226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22602"/>
  </w:style>
  <w:style w:type="table" w:customStyle="1" w:styleId="TableNormal">
    <w:name w:val="Table Normal"/>
    <w:rsid w:val="00922602"/>
    <w:tblPr>
      <w:tblCellMar>
        <w:top w:w="0" w:type="dxa"/>
        <w:left w:w="0" w:type="dxa"/>
        <w:bottom w:w="0" w:type="dxa"/>
        <w:right w:w="0" w:type="dxa"/>
      </w:tblCellMar>
    </w:tblPr>
  </w:style>
  <w:style w:type="paragraph" w:styleId="a3">
    <w:name w:val="Title"/>
    <w:basedOn w:val="10"/>
    <w:next w:val="10"/>
    <w:rsid w:val="00922602"/>
    <w:pPr>
      <w:keepNext/>
      <w:keepLines/>
      <w:spacing w:before="480" w:after="120"/>
    </w:pPr>
    <w:rPr>
      <w:b/>
      <w:sz w:val="72"/>
      <w:szCs w:val="72"/>
    </w:rPr>
  </w:style>
  <w:style w:type="paragraph" w:styleId="a4">
    <w:name w:val="Subtitle"/>
    <w:basedOn w:val="10"/>
    <w:next w:val="10"/>
    <w:rsid w:val="00922602"/>
    <w:pPr>
      <w:keepNext/>
      <w:keepLines/>
      <w:spacing w:before="360" w:after="80"/>
    </w:pPr>
    <w:rPr>
      <w:rFonts w:ascii="Georgia" w:eastAsia="Georgia" w:hAnsi="Georgia" w:cs="Georgia"/>
      <w:i/>
      <w:color w:val="666666"/>
      <w:sz w:val="48"/>
      <w:szCs w:val="48"/>
    </w:rPr>
  </w:style>
  <w:style w:type="table" w:customStyle="1" w:styleId="a5">
    <w:basedOn w:val="TableNormal"/>
    <w:rsid w:val="00922602"/>
    <w:tblPr>
      <w:tblStyleRowBandSize w:val="1"/>
      <w:tblStyleColBandSize w:val="1"/>
    </w:tblPr>
  </w:style>
  <w:style w:type="table" w:customStyle="1" w:styleId="a6">
    <w:basedOn w:val="TableNormal"/>
    <w:rsid w:val="00922602"/>
    <w:tblPr>
      <w:tblStyleRowBandSize w:val="1"/>
      <w:tblStyleColBandSize w:val="1"/>
      <w:tblCellMar>
        <w:left w:w="108" w:type="dxa"/>
        <w:right w:w="108" w:type="dxa"/>
      </w:tblCellMar>
    </w:tblPr>
  </w:style>
  <w:style w:type="table" w:customStyle="1" w:styleId="a7">
    <w:basedOn w:val="TableNormal"/>
    <w:rsid w:val="00922602"/>
    <w:tblPr>
      <w:tblStyleRowBandSize w:val="1"/>
      <w:tblStyleColBandSize w:val="1"/>
    </w:tblPr>
  </w:style>
  <w:style w:type="table" w:customStyle="1" w:styleId="a8">
    <w:basedOn w:val="TableNormal"/>
    <w:rsid w:val="00922602"/>
    <w:tblPr>
      <w:tblStyleRowBandSize w:val="1"/>
      <w:tblStyleColBandSize w:val="1"/>
    </w:tblPr>
  </w:style>
  <w:style w:type="table" w:customStyle="1" w:styleId="a9">
    <w:basedOn w:val="TableNormal"/>
    <w:rsid w:val="00922602"/>
    <w:tblPr>
      <w:tblStyleRowBandSize w:val="1"/>
      <w:tblStyleColBandSize w:val="1"/>
      <w:tblCellMar>
        <w:left w:w="108" w:type="dxa"/>
        <w:right w:w="108" w:type="dxa"/>
      </w:tblCellMar>
    </w:tblPr>
  </w:style>
  <w:style w:type="table" w:customStyle="1" w:styleId="aa">
    <w:basedOn w:val="TableNormal"/>
    <w:rsid w:val="00922602"/>
    <w:tblPr>
      <w:tblStyleRowBandSize w:val="1"/>
      <w:tblStyleColBandSize w:val="1"/>
      <w:tblCellMar>
        <w:top w:w="15" w:type="dxa"/>
        <w:left w:w="15" w:type="dxa"/>
        <w:bottom w:w="15" w:type="dxa"/>
        <w:right w:w="15" w:type="dxa"/>
      </w:tblCellMar>
    </w:tblPr>
  </w:style>
  <w:style w:type="table" w:customStyle="1" w:styleId="ab">
    <w:basedOn w:val="TableNormal"/>
    <w:rsid w:val="00922602"/>
    <w:tblPr>
      <w:tblStyleRowBandSize w:val="1"/>
      <w:tblStyleColBandSize w:val="1"/>
      <w:tblCellMar>
        <w:top w:w="15" w:type="dxa"/>
        <w:left w:w="15" w:type="dxa"/>
        <w:bottom w:w="15" w:type="dxa"/>
        <w:right w:w="15" w:type="dxa"/>
      </w:tblCellMar>
    </w:tblPr>
  </w:style>
  <w:style w:type="table" w:customStyle="1" w:styleId="ac">
    <w:basedOn w:val="TableNormal"/>
    <w:rsid w:val="00922602"/>
    <w:tblPr>
      <w:tblStyleRowBandSize w:val="1"/>
      <w:tblStyleColBandSize w:val="1"/>
      <w:tblCellMar>
        <w:top w:w="15" w:type="dxa"/>
        <w:left w:w="15" w:type="dxa"/>
        <w:bottom w:w="15" w:type="dxa"/>
        <w:right w:w="15" w:type="dxa"/>
      </w:tblCellMar>
    </w:tblPr>
  </w:style>
  <w:style w:type="table" w:customStyle="1" w:styleId="ad">
    <w:basedOn w:val="TableNormal"/>
    <w:rsid w:val="00922602"/>
    <w:tblPr>
      <w:tblStyleRowBandSize w:val="1"/>
      <w:tblStyleColBandSize w:val="1"/>
      <w:tblCellMar>
        <w:top w:w="28" w:type="dxa"/>
        <w:left w:w="28" w:type="dxa"/>
        <w:bottom w:w="28" w:type="dxa"/>
        <w:right w:w="28" w:type="dxa"/>
      </w:tblCellMar>
    </w:tblPr>
  </w:style>
  <w:style w:type="table" w:customStyle="1" w:styleId="ae">
    <w:basedOn w:val="TableNormal"/>
    <w:rsid w:val="00922602"/>
    <w:tblPr>
      <w:tblStyleRowBandSize w:val="1"/>
      <w:tblStyleColBandSize w:val="1"/>
      <w:tblCellMar>
        <w:top w:w="150" w:type="dxa"/>
        <w:left w:w="75" w:type="dxa"/>
        <w:bottom w:w="150" w:type="dxa"/>
        <w:right w:w="75" w:type="dxa"/>
      </w:tblCellMar>
    </w:tblPr>
  </w:style>
  <w:style w:type="table" w:customStyle="1" w:styleId="af">
    <w:basedOn w:val="TableNormal"/>
    <w:rsid w:val="00922602"/>
    <w:tblPr>
      <w:tblStyleRowBandSize w:val="1"/>
      <w:tblStyleColBandSize w:val="1"/>
      <w:tblCellMar>
        <w:top w:w="150" w:type="dxa"/>
        <w:left w:w="75" w:type="dxa"/>
        <w:bottom w:w="150" w:type="dxa"/>
        <w:right w:w="75" w:type="dxa"/>
      </w:tblCellMar>
    </w:tblPr>
  </w:style>
  <w:style w:type="table" w:customStyle="1" w:styleId="af0">
    <w:basedOn w:val="TableNormal"/>
    <w:rsid w:val="00922602"/>
    <w:tblPr>
      <w:tblStyleRowBandSize w:val="1"/>
      <w:tblStyleColBandSize w:val="1"/>
      <w:tblCellMar>
        <w:top w:w="150" w:type="dxa"/>
        <w:left w:w="75" w:type="dxa"/>
        <w:bottom w:w="150" w:type="dxa"/>
        <w:right w:w="75" w:type="dxa"/>
      </w:tblCellMar>
    </w:tblPr>
  </w:style>
  <w:style w:type="table" w:customStyle="1" w:styleId="af1">
    <w:basedOn w:val="TableNormal"/>
    <w:rsid w:val="00922602"/>
    <w:tblPr>
      <w:tblStyleRowBandSize w:val="1"/>
      <w:tblStyleColBandSize w:val="1"/>
      <w:tblCellMar>
        <w:top w:w="150" w:type="dxa"/>
        <w:left w:w="75" w:type="dxa"/>
        <w:bottom w:w="150" w:type="dxa"/>
        <w:right w:w="75" w:type="dxa"/>
      </w:tblCellMar>
    </w:tblPr>
  </w:style>
  <w:style w:type="table" w:customStyle="1" w:styleId="af2">
    <w:basedOn w:val="TableNormal"/>
    <w:rsid w:val="00922602"/>
    <w:tblPr>
      <w:tblStyleRowBandSize w:val="1"/>
      <w:tblStyleColBandSize w:val="1"/>
      <w:tblCellMar>
        <w:top w:w="150" w:type="dxa"/>
        <w:left w:w="75" w:type="dxa"/>
        <w:bottom w:w="150" w:type="dxa"/>
        <w:right w:w="75" w:type="dxa"/>
      </w:tblCellMar>
    </w:tblPr>
  </w:style>
  <w:style w:type="table" w:customStyle="1" w:styleId="af3">
    <w:basedOn w:val="TableNormal"/>
    <w:rsid w:val="00922602"/>
    <w:tblPr>
      <w:tblStyleRowBandSize w:val="1"/>
      <w:tblStyleColBandSize w:val="1"/>
      <w:tblCellMar>
        <w:top w:w="150" w:type="dxa"/>
        <w:left w:w="75" w:type="dxa"/>
        <w:bottom w:w="150" w:type="dxa"/>
        <w:right w:w="75" w:type="dxa"/>
      </w:tblCellMar>
    </w:tblPr>
  </w:style>
  <w:style w:type="table" w:customStyle="1" w:styleId="af4">
    <w:basedOn w:val="TableNormal"/>
    <w:rsid w:val="00922602"/>
    <w:tblPr>
      <w:tblStyleRowBandSize w:val="1"/>
      <w:tblStyleColBandSize w:val="1"/>
      <w:tblCellMar>
        <w:top w:w="150" w:type="dxa"/>
        <w:left w:w="75" w:type="dxa"/>
        <w:bottom w:w="150" w:type="dxa"/>
        <w:right w:w="75" w:type="dxa"/>
      </w:tblCellMar>
    </w:tblPr>
  </w:style>
  <w:style w:type="character" w:customStyle="1" w:styleId="af5">
    <w:name w:val="Основной текст_"/>
    <w:basedOn w:val="a0"/>
    <w:link w:val="11"/>
    <w:rsid w:val="00FA7680"/>
    <w:rPr>
      <w:rFonts w:ascii="Times New Roman" w:eastAsia="Times New Roman" w:hAnsi="Times New Roman" w:cs="Times New Roman"/>
      <w:sz w:val="28"/>
      <w:szCs w:val="28"/>
    </w:rPr>
  </w:style>
  <w:style w:type="paragraph" w:customStyle="1" w:styleId="11">
    <w:name w:val="Основной текст1"/>
    <w:basedOn w:val="a"/>
    <w:link w:val="af5"/>
    <w:rsid w:val="00FA7680"/>
    <w:pPr>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10</Pages>
  <Words>13873</Words>
  <Characters>7909</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1</cp:lastModifiedBy>
  <cp:revision>18</cp:revision>
  <cp:lastPrinted>2023-02-13T15:28:00Z</cp:lastPrinted>
  <dcterms:created xsi:type="dcterms:W3CDTF">2023-06-02T09:58:00Z</dcterms:created>
  <dcterms:modified xsi:type="dcterms:W3CDTF">2023-06-23T11:37:00Z</dcterms:modified>
</cp:coreProperties>
</file>