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2" w:rsidRPr="002829B5" w:rsidRDefault="00CC4FE2" w:rsidP="00CC4FE2">
      <w:pPr>
        <w:ind w:firstLine="567"/>
        <w:jc w:val="center"/>
        <w:rPr>
          <w:sz w:val="16"/>
        </w:rPr>
      </w:pPr>
    </w:p>
    <w:p w:rsidR="003D6EF9" w:rsidRDefault="003D6EF9" w:rsidP="003D6EF9">
      <w:pPr>
        <w:ind w:right="4109"/>
        <w:jc w:val="both"/>
        <w:rPr>
          <w:b/>
          <w:color w:val="000000"/>
          <w:sz w:val="28"/>
          <w:szCs w:val="28"/>
        </w:rPr>
      </w:pPr>
    </w:p>
    <w:p w:rsidR="003D6EF9" w:rsidRPr="001F7563" w:rsidRDefault="003D6EF9" w:rsidP="003D6EF9">
      <w:pPr>
        <w:ind w:right="4109"/>
        <w:jc w:val="both"/>
        <w:rPr>
          <w:color w:val="000000"/>
          <w:sz w:val="28"/>
          <w:szCs w:val="28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1F756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Default="00490C93" w:rsidP="007505CD">
      <w:pPr>
        <w:ind w:right="39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490C93" w:rsidRDefault="00490C93" w:rsidP="007505CD">
      <w:pPr>
        <w:ind w:right="3967"/>
        <w:jc w:val="both"/>
        <w:rPr>
          <w:color w:val="000000"/>
          <w:sz w:val="26"/>
          <w:szCs w:val="26"/>
        </w:rPr>
      </w:pPr>
    </w:p>
    <w:p w:rsidR="001F7563" w:rsidRPr="00490C93" w:rsidRDefault="001F7563" w:rsidP="007505CD">
      <w:pPr>
        <w:ind w:right="3967"/>
        <w:jc w:val="both"/>
        <w:rPr>
          <w:color w:val="000000"/>
          <w:sz w:val="28"/>
          <w:szCs w:val="28"/>
        </w:rPr>
      </w:pPr>
    </w:p>
    <w:p w:rsidR="001F7563" w:rsidRPr="00490C93" w:rsidRDefault="001F7563" w:rsidP="007505CD">
      <w:pPr>
        <w:ind w:right="3967"/>
        <w:jc w:val="both"/>
        <w:rPr>
          <w:color w:val="000000"/>
          <w:sz w:val="28"/>
          <w:szCs w:val="28"/>
        </w:rPr>
      </w:pPr>
    </w:p>
    <w:p w:rsidR="003D6EF9" w:rsidRPr="00490C93" w:rsidRDefault="00C6142E" w:rsidP="00490C93">
      <w:pPr>
        <w:ind w:right="3684"/>
        <w:jc w:val="both"/>
        <w:rPr>
          <w:color w:val="000000"/>
          <w:sz w:val="28"/>
          <w:szCs w:val="28"/>
        </w:rPr>
      </w:pPr>
      <w:r w:rsidRPr="00490C93">
        <w:rPr>
          <w:color w:val="000000"/>
          <w:sz w:val="28"/>
          <w:szCs w:val="28"/>
        </w:rPr>
        <w:t xml:space="preserve">Про </w:t>
      </w:r>
      <w:r w:rsidR="00726AE3" w:rsidRPr="00490C93">
        <w:rPr>
          <w:color w:val="000000"/>
          <w:sz w:val="28"/>
          <w:szCs w:val="28"/>
        </w:rPr>
        <w:t>внесе</w:t>
      </w:r>
      <w:r w:rsidR="00610B38" w:rsidRPr="00490C93">
        <w:rPr>
          <w:color w:val="000000"/>
          <w:sz w:val="28"/>
          <w:szCs w:val="28"/>
        </w:rPr>
        <w:t xml:space="preserve">ння </w:t>
      </w:r>
      <w:r w:rsidR="00726AE3" w:rsidRPr="00490C93">
        <w:rPr>
          <w:color w:val="000000"/>
          <w:sz w:val="28"/>
          <w:szCs w:val="28"/>
        </w:rPr>
        <w:t xml:space="preserve">змін до </w:t>
      </w:r>
      <w:r w:rsidR="007505CD" w:rsidRPr="00490C93">
        <w:rPr>
          <w:color w:val="000000"/>
          <w:sz w:val="28"/>
          <w:szCs w:val="28"/>
        </w:rPr>
        <w:t xml:space="preserve">Рішення Авангардівської селищної ради № 2460-Ⅷ від 22.12.2023 року «Про затвердження </w:t>
      </w:r>
      <w:r w:rsidR="003D6EF9" w:rsidRPr="00490C93">
        <w:rPr>
          <w:color w:val="000000"/>
          <w:sz w:val="28"/>
          <w:szCs w:val="28"/>
        </w:rPr>
        <w:t xml:space="preserve">Програми розвитку </w:t>
      </w:r>
      <w:r w:rsidR="00DC150E" w:rsidRPr="00490C93">
        <w:rPr>
          <w:color w:val="000000"/>
          <w:sz w:val="28"/>
          <w:szCs w:val="28"/>
        </w:rPr>
        <w:t>Центру культурних послуг</w:t>
      </w:r>
      <w:r w:rsidR="007505CD" w:rsidRPr="00490C93">
        <w:rPr>
          <w:color w:val="000000"/>
          <w:sz w:val="28"/>
          <w:szCs w:val="28"/>
        </w:rPr>
        <w:t xml:space="preserve"> </w:t>
      </w:r>
      <w:r w:rsidR="003D6EF9" w:rsidRPr="00490C93">
        <w:rPr>
          <w:color w:val="000000"/>
          <w:sz w:val="28"/>
          <w:szCs w:val="28"/>
        </w:rPr>
        <w:t>Авангардівської сели</w:t>
      </w:r>
      <w:r w:rsidR="0023695E" w:rsidRPr="00490C93">
        <w:rPr>
          <w:color w:val="000000"/>
          <w:sz w:val="28"/>
          <w:szCs w:val="28"/>
        </w:rPr>
        <w:t>щ</w:t>
      </w:r>
      <w:r w:rsidR="003D6EF9" w:rsidRPr="00490C93">
        <w:rPr>
          <w:color w:val="000000"/>
          <w:sz w:val="28"/>
          <w:szCs w:val="28"/>
        </w:rPr>
        <w:t xml:space="preserve">ної ради </w:t>
      </w:r>
      <w:r w:rsidR="003854BC" w:rsidRPr="00490C93">
        <w:rPr>
          <w:color w:val="000000"/>
          <w:sz w:val="28"/>
          <w:szCs w:val="28"/>
        </w:rPr>
        <w:t>на 202</w:t>
      </w:r>
      <w:r w:rsidR="00610B38" w:rsidRPr="00490C93">
        <w:rPr>
          <w:color w:val="000000"/>
          <w:sz w:val="28"/>
          <w:szCs w:val="28"/>
        </w:rPr>
        <w:t>4</w:t>
      </w:r>
      <w:r w:rsidR="003D6EF9" w:rsidRPr="00490C93">
        <w:rPr>
          <w:color w:val="000000"/>
          <w:sz w:val="28"/>
          <w:szCs w:val="28"/>
        </w:rPr>
        <w:t xml:space="preserve"> рік</w:t>
      </w:r>
      <w:r w:rsidR="007505CD" w:rsidRPr="00490C93">
        <w:rPr>
          <w:color w:val="000000"/>
          <w:sz w:val="28"/>
          <w:szCs w:val="28"/>
        </w:rPr>
        <w:t>»</w:t>
      </w:r>
    </w:p>
    <w:p w:rsidR="003D6EF9" w:rsidRPr="00490C93" w:rsidRDefault="003D6EF9" w:rsidP="003D6EF9">
      <w:pPr>
        <w:rPr>
          <w:sz w:val="28"/>
          <w:szCs w:val="28"/>
        </w:rPr>
      </w:pPr>
    </w:p>
    <w:p w:rsidR="003D6EF9" w:rsidRPr="00490C93" w:rsidRDefault="003D6EF9" w:rsidP="003D6EF9">
      <w:pPr>
        <w:jc w:val="both"/>
        <w:rPr>
          <w:sz w:val="28"/>
          <w:szCs w:val="28"/>
          <w:shd w:val="clear" w:color="auto" w:fill="FFFFFF"/>
        </w:rPr>
      </w:pPr>
      <w:r w:rsidRPr="00490C93">
        <w:rPr>
          <w:sz w:val="28"/>
          <w:szCs w:val="28"/>
        </w:rPr>
        <w:t xml:space="preserve"> </w:t>
      </w:r>
      <w:r w:rsidRPr="00490C93">
        <w:rPr>
          <w:sz w:val="28"/>
          <w:szCs w:val="28"/>
        </w:rPr>
        <w:tab/>
        <w:t>Відповідно до пункту 22 частини 1 статті 26 Закону</w:t>
      </w:r>
      <w:r w:rsidR="001F7563" w:rsidRPr="00490C93">
        <w:rPr>
          <w:sz w:val="28"/>
          <w:szCs w:val="28"/>
        </w:rPr>
        <w:t xml:space="preserve"> України </w:t>
      </w:r>
      <w:r w:rsidRPr="00490C93">
        <w:rPr>
          <w:sz w:val="28"/>
          <w:szCs w:val="28"/>
        </w:rPr>
        <w:t>«Про місцеве самоврядування в Україні», Закону України «Про культуру»,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490C93">
        <w:rPr>
          <w:sz w:val="28"/>
          <w:szCs w:val="28"/>
        </w:rPr>
        <w:t xml:space="preserve">аїни, на підставі клопотання </w:t>
      </w:r>
      <w:r w:rsidR="007505CD" w:rsidRPr="00490C93">
        <w:rPr>
          <w:sz w:val="28"/>
          <w:szCs w:val="28"/>
        </w:rPr>
        <w:t>Начальника відділу освіти, культури, молоді та спорту</w:t>
      </w:r>
      <w:r w:rsidR="00CC4FE2" w:rsidRPr="00490C93">
        <w:rPr>
          <w:sz w:val="28"/>
          <w:szCs w:val="28"/>
        </w:rPr>
        <w:t xml:space="preserve"> Авангардівської селищної ради від </w:t>
      </w:r>
      <w:r w:rsidR="00472E96" w:rsidRPr="00490C93">
        <w:rPr>
          <w:sz w:val="28"/>
          <w:szCs w:val="28"/>
        </w:rPr>
        <w:t>0</w:t>
      </w:r>
      <w:r w:rsidR="007505CD" w:rsidRPr="00490C93">
        <w:rPr>
          <w:sz w:val="28"/>
          <w:szCs w:val="28"/>
        </w:rPr>
        <w:t>5</w:t>
      </w:r>
      <w:r w:rsidR="00B14436" w:rsidRPr="00490C93">
        <w:rPr>
          <w:sz w:val="28"/>
          <w:szCs w:val="28"/>
        </w:rPr>
        <w:t>.0</w:t>
      </w:r>
      <w:r w:rsidR="00472E96" w:rsidRPr="00490C93">
        <w:rPr>
          <w:sz w:val="28"/>
          <w:szCs w:val="28"/>
        </w:rPr>
        <w:t>3</w:t>
      </w:r>
      <w:r w:rsidR="00B14436" w:rsidRPr="00490C93">
        <w:rPr>
          <w:sz w:val="28"/>
          <w:szCs w:val="28"/>
        </w:rPr>
        <w:t>.2024</w:t>
      </w:r>
      <w:r w:rsidR="00CC4FE2" w:rsidRPr="00490C93">
        <w:rPr>
          <w:sz w:val="28"/>
          <w:szCs w:val="28"/>
        </w:rPr>
        <w:t xml:space="preserve"> </w:t>
      </w:r>
      <w:r w:rsidR="003854BC" w:rsidRPr="00490C93">
        <w:rPr>
          <w:sz w:val="28"/>
          <w:szCs w:val="28"/>
        </w:rPr>
        <w:t>№</w:t>
      </w:r>
      <w:bookmarkStart w:id="0" w:name="_GoBack"/>
      <w:bookmarkEnd w:id="0"/>
      <w:r w:rsidR="007505CD" w:rsidRPr="00490C93">
        <w:rPr>
          <w:sz w:val="28"/>
          <w:szCs w:val="28"/>
        </w:rPr>
        <w:t>138</w:t>
      </w:r>
      <w:r w:rsidR="00CC4FE2" w:rsidRPr="00490C93">
        <w:rPr>
          <w:sz w:val="28"/>
          <w:szCs w:val="28"/>
        </w:rPr>
        <w:t xml:space="preserve">, </w:t>
      </w:r>
      <w:proofErr w:type="spellStart"/>
      <w:r w:rsidRPr="00490C93">
        <w:rPr>
          <w:sz w:val="28"/>
          <w:szCs w:val="28"/>
        </w:rPr>
        <w:t>Авангардівська</w:t>
      </w:r>
      <w:proofErr w:type="spellEnd"/>
      <w:r w:rsidRPr="00490C93">
        <w:rPr>
          <w:sz w:val="28"/>
          <w:szCs w:val="28"/>
        </w:rPr>
        <w:t xml:space="preserve"> селищна рада</w:t>
      </w:r>
      <w:r w:rsidR="001050FB" w:rsidRPr="00490C93">
        <w:rPr>
          <w:sz w:val="28"/>
          <w:szCs w:val="28"/>
          <w:shd w:val="clear" w:color="auto" w:fill="FFFFFF"/>
        </w:rPr>
        <w:t xml:space="preserve"> </w:t>
      </w:r>
      <w:r w:rsidRPr="00490C93">
        <w:rPr>
          <w:b/>
          <w:sz w:val="28"/>
          <w:szCs w:val="28"/>
        </w:rPr>
        <w:t>ВИРІШИЛА:</w:t>
      </w:r>
    </w:p>
    <w:p w:rsidR="003D6EF9" w:rsidRPr="00490C93" w:rsidRDefault="003D6EF9" w:rsidP="003D6EF9">
      <w:pPr>
        <w:jc w:val="both"/>
        <w:rPr>
          <w:sz w:val="28"/>
          <w:szCs w:val="28"/>
        </w:rPr>
      </w:pPr>
      <w:r w:rsidRPr="00490C93">
        <w:rPr>
          <w:sz w:val="28"/>
          <w:szCs w:val="28"/>
        </w:rPr>
        <w:t xml:space="preserve"> </w:t>
      </w:r>
    </w:p>
    <w:p w:rsidR="003D6EF9" w:rsidRPr="00490C93" w:rsidRDefault="00610B38" w:rsidP="003D6EF9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90C93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490C93">
        <w:rPr>
          <w:rFonts w:ascii="Times New Roman" w:hAnsi="Times New Roman"/>
          <w:sz w:val="28"/>
          <w:szCs w:val="28"/>
        </w:rPr>
        <w:t xml:space="preserve"> </w:t>
      </w:r>
      <w:r w:rsidR="007505CD" w:rsidRPr="00490C93">
        <w:rPr>
          <w:rFonts w:ascii="Times New Roman" w:hAnsi="Times New Roman"/>
          <w:sz w:val="28"/>
          <w:szCs w:val="28"/>
        </w:rPr>
        <w:t>«</w:t>
      </w:r>
      <w:proofErr w:type="spellStart"/>
      <w:r w:rsidR="00C6142E" w:rsidRPr="00490C93">
        <w:rPr>
          <w:rFonts w:ascii="Times New Roman" w:hAnsi="Times New Roman"/>
          <w:sz w:val="28"/>
          <w:szCs w:val="28"/>
        </w:rPr>
        <w:t>Програм</w:t>
      </w:r>
      <w:r w:rsidRPr="00490C93">
        <w:rPr>
          <w:rFonts w:ascii="Times New Roman" w:hAnsi="Times New Roman"/>
          <w:sz w:val="28"/>
          <w:szCs w:val="28"/>
        </w:rPr>
        <w:t>у</w:t>
      </w:r>
      <w:proofErr w:type="spellEnd"/>
      <w:r w:rsidR="003D6EF9"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EF9" w:rsidRPr="00490C93">
        <w:rPr>
          <w:rFonts w:ascii="Times New Roman" w:hAnsi="Times New Roman"/>
          <w:sz w:val="28"/>
          <w:szCs w:val="28"/>
        </w:rPr>
        <w:t>розвитку</w:t>
      </w:r>
      <w:proofErr w:type="spellEnd"/>
      <w:r w:rsidR="003D6EF9" w:rsidRPr="00490C93">
        <w:rPr>
          <w:rFonts w:ascii="Times New Roman" w:hAnsi="Times New Roman"/>
          <w:sz w:val="28"/>
          <w:szCs w:val="28"/>
        </w:rPr>
        <w:t xml:space="preserve"> </w:t>
      </w:r>
      <w:r w:rsidR="00DC150E" w:rsidRPr="00490C93">
        <w:rPr>
          <w:rFonts w:ascii="Times New Roman" w:hAnsi="Times New Roman"/>
          <w:color w:val="000000"/>
          <w:sz w:val="28"/>
          <w:szCs w:val="28"/>
        </w:rPr>
        <w:t>Центру культурних послуг</w:t>
      </w:r>
      <w:r w:rsidR="003D6EF9" w:rsidRPr="00490C93">
        <w:rPr>
          <w:rFonts w:ascii="Times New Roman" w:hAnsi="Times New Roman"/>
          <w:sz w:val="28"/>
          <w:szCs w:val="28"/>
        </w:rPr>
        <w:t xml:space="preserve"> Авангардівс</w:t>
      </w:r>
      <w:r w:rsidR="00607F05" w:rsidRPr="00490C93">
        <w:rPr>
          <w:rFonts w:ascii="Times New Roman" w:hAnsi="Times New Roman"/>
          <w:sz w:val="28"/>
          <w:szCs w:val="28"/>
        </w:rPr>
        <w:t xml:space="preserve">ької селищної ради </w:t>
      </w:r>
      <w:r w:rsidR="003854BC" w:rsidRPr="00490C93">
        <w:rPr>
          <w:rFonts w:ascii="Times New Roman" w:hAnsi="Times New Roman"/>
          <w:sz w:val="28"/>
          <w:szCs w:val="28"/>
        </w:rPr>
        <w:t>на 202</w:t>
      </w:r>
      <w:r w:rsidRPr="00490C93">
        <w:rPr>
          <w:rFonts w:ascii="Times New Roman" w:hAnsi="Times New Roman"/>
          <w:sz w:val="28"/>
          <w:szCs w:val="28"/>
        </w:rPr>
        <w:t>4</w:t>
      </w:r>
      <w:r w:rsidR="003854BC" w:rsidRPr="00490C93">
        <w:rPr>
          <w:rFonts w:ascii="Times New Roman" w:hAnsi="Times New Roman"/>
          <w:sz w:val="28"/>
          <w:szCs w:val="28"/>
        </w:rPr>
        <w:t xml:space="preserve"> рік</w:t>
      </w:r>
      <w:r w:rsidR="00C6142E" w:rsidRPr="00490C9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C6142E" w:rsidRPr="00490C93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490C93">
        <w:rPr>
          <w:rFonts w:ascii="Times New Roman" w:hAnsi="Times New Roman"/>
          <w:sz w:val="28"/>
          <w:szCs w:val="28"/>
        </w:rPr>
        <w:t>наступній</w:t>
      </w:r>
      <w:proofErr w:type="spellEnd"/>
      <w:proofErr w:type="gramEnd"/>
      <w:r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42E" w:rsidRPr="00490C93">
        <w:rPr>
          <w:rFonts w:ascii="Times New Roman" w:hAnsi="Times New Roman"/>
          <w:sz w:val="28"/>
          <w:szCs w:val="28"/>
        </w:rPr>
        <w:t>редакції</w:t>
      </w:r>
      <w:proofErr w:type="spellEnd"/>
      <w:r w:rsidR="00C6142E"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42E" w:rsidRPr="00490C93">
        <w:rPr>
          <w:rFonts w:ascii="Times New Roman" w:hAnsi="Times New Roman"/>
          <w:sz w:val="28"/>
          <w:szCs w:val="28"/>
        </w:rPr>
        <w:t>згідно</w:t>
      </w:r>
      <w:proofErr w:type="spellEnd"/>
      <w:r w:rsidR="00C6142E" w:rsidRPr="00490C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C6142E" w:rsidRPr="00490C93">
        <w:rPr>
          <w:rFonts w:ascii="Times New Roman" w:hAnsi="Times New Roman"/>
          <w:sz w:val="28"/>
          <w:szCs w:val="28"/>
        </w:rPr>
        <w:t>додатком</w:t>
      </w:r>
      <w:proofErr w:type="spellEnd"/>
      <w:r w:rsidR="00C6142E" w:rsidRPr="00490C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6142E" w:rsidRPr="00490C93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C6142E" w:rsidRPr="00490C93">
        <w:rPr>
          <w:rFonts w:ascii="Times New Roman" w:hAnsi="Times New Roman"/>
          <w:sz w:val="28"/>
          <w:szCs w:val="28"/>
        </w:rPr>
        <w:t>)</w:t>
      </w:r>
      <w:r w:rsidR="00490C93">
        <w:rPr>
          <w:rFonts w:ascii="Times New Roman" w:hAnsi="Times New Roman"/>
          <w:sz w:val="28"/>
          <w:szCs w:val="28"/>
          <w:lang w:val="uk-UA"/>
        </w:rPr>
        <w:t>.</w:t>
      </w:r>
    </w:p>
    <w:p w:rsidR="00490C93" w:rsidRPr="00490C93" w:rsidRDefault="00490C93" w:rsidP="00490C9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6EF9" w:rsidRPr="00490C93" w:rsidRDefault="003D6EF9" w:rsidP="001F756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90C9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490C9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C93">
        <w:rPr>
          <w:rFonts w:ascii="Times New Roman" w:hAnsi="Times New Roman"/>
          <w:sz w:val="28"/>
          <w:szCs w:val="28"/>
        </w:rPr>
        <w:t>цього</w:t>
      </w:r>
      <w:proofErr w:type="spellEnd"/>
      <w:r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C9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90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C9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490C93">
        <w:rPr>
          <w:rFonts w:ascii="Times New Roman" w:hAnsi="Times New Roman"/>
          <w:sz w:val="28"/>
          <w:szCs w:val="28"/>
        </w:rPr>
        <w:t xml:space="preserve"> на постійну комісію з питань охорони здоров'я, соціального захисту, освіти, сім'ї, молоді, спорту, туризму та культури.</w:t>
      </w:r>
    </w:p>
    <w:p w:rsidR="003D6EF9" w:rsidRPr="00490C93" w:rsidRDefault="003D6EF9" w:rsidP="003D6EF9">
      <w:pPr>
        <w:jc w:val="both"/>
        <w:rPr>
          <w:sz w:val="28"/>
          <w:szCs w:val="28"/>
        </w:rPr>
      </w:pPr>
    </w:p>
    <w:p w:rsidR="003D6EF9" w:rsidRPr="00490C93" w:rsidRDefault="003D6EF9" w:rsidP="003D6EF9">
      <w:pPr>
        <w:jc w:val="both"/>
        <w:rPr>
          <w:spacing w:val="-12"/>
          <w:sz w:val="28"/>
          <w:szCs w:val="28"/>
        </w:rPr>
      </w:pPr>
    </w:p>
    <w:p w:rsidR="003D6EF9" w:rsidRPr="00490C93" w:rsidRDefault="003D6EF9" w:rsidP="001050FB">
      <w:pPr>
        <w:rPr>
          <w:b/>
          <w:sz w:val="28"/>
          <w:szCs w:val="28"/>
        </w:rPr>
      </w:pPr>
      <w:r w:rsidRPr="00490C93">
        <w:rPr>
          <w:b/>
          <w:spacing w:val="-12"/>
          <w:sz w:val="28"/>
          <w:szCs w:val="28"/>
        </w:rPr>
        <w:t xml:space="preserve">Селищний голова </w:t>
      </w:r>
      <w:r w:rsidRPr="00490C93">
        <w:rPr>
          <w:b/>
          <w:spacing w:val="-12"/>
          <w:sz w:val="28"/>
          <w:szCs w:val="28"/>
        </w:rPr>
        <w:tab/>
      </w:r>
      <w:r w:rsidR="001050FB" w:rsidRPr="00490C93">
        <w:rPr>
          <w:b/>
          <w:spacing w:val="-12"/>
          <w:sz w:val="28"/>
          <w:szCs w:val="28"/>
        </w:rPr>
        <w:tab/>
        <w:t xml:space="preserve">           </w:t>
      </w:r>
      <w:r w:rsidRPr="00490C93">
        <w:rPr>
          <w:b/>
          <w:spacing w:val="-12"/>
          <w:sz w:val="28"/>
          <w:szCs w:val="28"/>
        </w:rPr>
        <w:tab/>
      </w:r>
      <w:r w:rsidR="004C4A02" w:rsidRPr="00490C93">
        <w:rPr>
          <w:b/>
          <w:spacing w:val="-12"/>
          <w:sz w:val="28"/>
          <w:szCs w:val="28"/>
        </w:rPr>
        <w:t xml:space="preserve">    </w:t>
      </w:r>
      <w:r w:rsidRPr="00490C93">
        <w:rPr>
          <w:b/>
          <w:spacing w:val="-12"/>
          <w:sz w:val="28"/>
          <w:szCs w:val="28"/>
        </w:rPr>
        <w:tab/>
      </w:r>
      <w:r w:rsidR="004C4A02" w:rsidRPr="00490C93">
        <w:rPr>
          <w:b/>
          <w:spacing w:val="-12"/>
          <w:sz w:val="28"/>
          <w:szCs w:val="28"/>
        </w:rPr>
        <w:t xml:space="preserve">    </w:t>
      </w:r>
      <w:r w:rsidRPr="00490C93">
        <w:rPr>
          <w:b/>
          <w:spacing w:val="-12"/>
          <w:sz w:val="28"/>
          <w:szCs w:val="28"/>
        </w:rPr>
        <w:tab/>
      </w:r>
      <w:r w:rsidR="001050FB" w:rsidRPr="00490C93">
        <w:rPr>
          <w:b/>
          <w:spacing w:val="-12"/>
          <w:sz w:val="28"/>
          <w:szCs w:val="28"/>
        </w:rPr>
        <w:t xml:space="preserve">          </w:t>
      </w:r>
      <w:r w:rsidRPr="00490C93">
        <w:rPr>
          <w:b/>
          <w:spacing w:val="-12"/>
          <w:sz w:val="28"/>
          <w:szCs w:val="28"/>
        </w:rPr>
        <w:t>Сергій ХРУСТОВСЬКИЙ</w:t>
      </w:r>
    </w:p>
    <w:p w:rsidR="003D6EF9" w:rsidRPr="00490C93" w:rsidRDefault="003D6EF9" w:rsidP="003D6EF9">
      <w:pPr>
        <w:jc w:val="both"/>
        <w:rPr>
          <w:sz w:val="28"/>
          <w:szCs w:val="28"/>
        </w:rPr>
      </w:pPr>
    </w:p>
    <w:p w:rsidR="00607F05" w:rsidRPr="00490C93" w:rsidRDefault="00607F05" w:rsidP="001F7563">
      <w:pPr>
        <w:rPr>
          <w:sz w:val="28"/>
          <w:szCs w:val="28"/>
          <w:lang w:val="ru-RU"/>
        </w:rPr>
      </w:pPr>
    </w:p>
    <w:p w:rsidR="003D6EF9" w:rsidRPr="00490C93" w:rsidRDefault="00490C93" w:rsidP="003D6EF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№2735</w:t>
      </w:r>
      <w:r w:rsidR="003D6EF9" w:rsidRPr="00490C93">
        <w:rPr>
          <w:b/>
          <w:sz w:val="28"/>
          <w:szCs w:val="28"/>
        </w:rPr>
        <w:t>-</w:t>
      </w:r>
      <w:r w:rsidR="003D6EF9" w:rsidRPr="00490C93">
        <w:rPr>
          <w:b/>
          <w:sz w:val="28"/>
          <w:szCs w:val="28"/>
          <w:lang w:val="en-US"/>
        </w:rPr>
        <w:t>VIII</w:t>
      </w:r>
    </w:p>
    <w:p w:rsidR="003D6EF9" w:rsidRPr="00490C93" w:rsidRDefault="00CC4FE2" w:rsidP="003D6EF9">
      <w:pPr>
        <w:rPr>
          <w:b/>
          <w:sz w:val="28"/>
          <w:szCs w:val="28"/>
          <w:lang w:val="ru-RU"/>
        </w:rPr>
      </w:pPr>
      <w:r w:rsidRPr="00490C93">
        <w:rPr>
          <w:b/>
          <w:sz w:val="28"/>
          <w:szCs w:val="28"/>
        </w:rPr>
        <w:t>в</w:t>
      </w:r>
      <w:r w:rsidR="002D1A0D" w:rsidRPr="00490C93">
        <w:rPr>
          <w:b/>
          <w:sz w:val="28"/>
          <w:szCs w:val="28"/>
        </w:rPr>
        <w:t>ід</w:t>
      </w:r>
      <w:r w:rsidR="003854BC" w:rsidRPr="00490C93">
        <w:rPr>
          <w:b/>
          <w:sz w:val="28"/>
          <w:szCs w:val="28"/>
          <w:lang w:val="ru-RU"/>
        </w:rPr>
        <w:t xml:space="preserve"> </w:t>
      </w:r>
      <w:r w:rsidR="001F7563" w:rsidRPr="00490C93">
        <w:rPr>
          <w:b/>
          <w:sz w:val="28"/>
          <w:szCs w:val="28"/>
          <w:lang w:val="ru-RU"/>
        </w:rPr>
        <w:t>08</w:t>
      </w:r>
      <w:r w:rsidR="002D1A0D" w:rsidRPr="00490C93">
        <w:rPr>
          <w:b/>
          <w:sz w:val="28"/>
          <w:szCs w:val="28"/>
        </w:rPr>
        <w:t>.</w:t>
      </w:r>
      <w:r w:rsidR="00726AE3" w:rsidRPr="00490C93">
        <w:rPr>
          <w:b/>
          <w:sz w:val="28"/>
          <w:szCs w:val="28"/>
        </w:rPr>
        <w:t>0</w:t>
      </w:r>
      <w:r w:rsidR="007F129C" w:rsidRPr="00490C93">
        <w:rPr>
          <w:b/>
          <w:sz w:val="28"/>
          <w:szCs w:val="28"/>
        </w:rPr>
        <w:t>5</w:t>
      </w:r>
      <w:r w:rsidR="003854BC" w:rsidRPr="00490C93">
        <w:rPr>
          <w:b/>
          <w:sz w:val="28"/>
          <w:szCs w:val="28"/>
        </w:rPr>
        <w:t>.202</w:t>
      </w:r>
      <w:r w:rsidR="00726AE3" w:rsidRPr="00490C93">
        <w:rPr>
          <w:b/>
          <w:sz w:val="28"/>
          <w:szCs w:val="28"/>
          <w:lang w:val="ru-RU"/>
        </w:rPr>
        <w:t>4</w:t>
      </w:r>
    </w:p>
    <w:p w:rsidR="001050FB" w:rsidRDefault="001050FB" w:rsidP="00CC4FE2">
      <w:pPr>
        <w:ind w:right="-2"/>
        <w:jc w:val="both"/>
        <w:rPr>
          <w:sz w:val="28"/>
          <w:szCs w:val="28"/>
        </w:rPr>
      </w:pPr>
    </w:p>
    <w:p w:rsidR="001F7563" w:rsidRDefault="001F7563" w:rsidP="00CC4FE2">
      <w:pPr>
        <w:ind w:left="5812" w:right="-2"/>
        <w:jc w:val="both"/>
        <w:rPr>
          <w:sz w:val="26"/>
          <w:szCs w:val="26"/>
        </w:rPr>
      </w:pPr>
    </w:p>
    <w:p w:rsidR="001F7563" w:rsidRDefault="001F7563" w:rsidP="00CC4FE2">
      <w:pPr>
        <w:ind w:left="5812" w:right="-2"/>
        <w:jc w:val="both"/>
        <w:rPr>
          <w:sz w:val="26"/>
          <w:szCs w:val="26"/>
        </w:rPr>
      </w:pPr>
    </w:p>
    <w:p w:rsidR="001F7563" w:rsidRDefault="001F7563" w:rsidP="00490C93">
      <w:pPr>
        <w:ind w:right="-2"/>
        <w:jc w:val="both"/>
        <w:rPr>
          <w:sz w:val="26"/>
          <w:szCs w:val="26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r w:rsidRPr="00CC4FE2">
        <w:rPr>
          <w:sz w:val="26"/>
          <w:szCs w:val="26"/>
        </w:rPr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1F7563">
        <w:rPr>
          <w:sz w:val="26"/>
          <w:szCs w:val="26"/>
          <w:lang w:val="uk-UA"/>
        </w:rPr>
        <w:t>08</w:t>
      </w:r>
      <w:r w:rsidR="00472E96">
        <w:rPr>
          <w:sz w:val="26"/>
          <w:szCs w:val="26"/>
          <w:lang w:val="uk-UA"/>
        </w:rPr>
        <w:t>.0</w:t>
      </w:r>
      <w:r w:rsidR="007F129C">
        <w:rPr>
          <w:sz w:val="26"/>
          <w:szCs w:val="26"/>
          <w:lang w:val="uk-UA"/>
        </w:rPr>
        <w:t>5</w:t>
      </w:r>
      <w:r w:rsidR="00726AE3">
        <w:rPr>
          <w:sz w:val="26"/>
          <w:szCs w:val="26"/>
          <w:lang w:val="uk-UA"/>
        </w:rPr>
        <w:t>.2024</w:t>
      </w:r>
      <w:r w:rsidR="006C59D5" w:rsidRPr="00CC4FE2">
        <w:rPr>
          <w:sz w:val="26"/>
          <w:szCs w:val="26"/>
          <w:lang w:val="uk-UA"/>
        </w:rPr>
        <w:t xml:space="preserve"> </w:t>
      </w:r>
      <w:r w:rsidR="00224503" w:rsidRPr="00CC4FE2">
        <w:rPr>
          <w:sz w:val="26"/>
          <w:szCs w:val="26"/>
          <w:lang w:val="uk-UA"/>
        </w:rPr>
        <w:t>р. №</w:t>
      </w:r>
      <w:r w:rsidR="00490C93">
        <w:rPr>
          <w:sz w:val="26"/>
          <w:szCs w:val="26"/>
          <w:lang w:val="uk-UA"/>
        </w:rPr>
        <w:t>2735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на 202</w:t>
      </w:r>
      <w:r w:rsidR="00610B38">
        <w:rPr>
          <w:b/>
          <w:bCs/>
          <w:sz w:val="32"/>
          <w:szCs w:val="28"/>
          <w:lang w:val="ru-RU"/>
        </w:rPr>
        <w:t>4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8543CE" w:rsidRDefault="00FC3EFC" w:rsidP="00490C93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463DAD" w:rsidRDefault="003D6EF9" w:rsidP="00463DAD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726AE3">
        <w:rPr>
          <w:sz w:val="28"/>
          <w:szCs w:val="28"/>
        </w:rPr>
        <w:t>4</w:t>
      </w:r>
    </w:p>
    <w:p w:rsidR="001F7563" w:rsidRDefault="001F7563" w:rsidP="00463DAD">
      <w:pPr>
        <w:ind w:right="282"/>
        <w:jc w:val="center"/>
        <w:rPr>
          <w:sz w:val="28"/>
          <w:szCs w:val="28"/>
        </w:rPr>
      </w:pPr>
    </w:p>
    <w:p w:rsidR="001F7563" w:rsidRDefault="001F7563" w:rsidP="00463DAD">
      <w:pPr>
        <w:ind w:right="282"/>
        <w:jc w:val="center"/>
        <w:rPr>
          <w:sz w:val="28"/>
          <w:szCs w:val="28"/>
        </w:rPr>
      </w:pPr>
    </w:p>
    <w:p w:rsidR="001F7563" w:rsidRPr="00C804DC" w:rsidRDefault="001F7563" w:rsidP="00463DAD">
      <w:pPr>
        <w:ind w:right="282"/>
        <w:jc w:val="center"/>
        <w:rPr>
          <w:sz w:val="28"/>
          <w:szCs w:val="28"/>
        </w:rPr>
      </w:pPr>
    </w:p>
    <w:p w:rsidR="00CA26D5" w:rsidRDefault="00CA26D5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lastRenderedPageBreak/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726AE3">
        <w:rPr>
          <w:b/>
          <w:bCs/>
          <w:sz w:val="32"/>
          <w:szCs w:val="28"/>
          <w:lang w:val="ru-RU"/>
        </w:rPr>
        <w:t>4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3"/>
        <w:gridCol w:w="4655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981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  <w:r w:rsidR="004A06D9">
              <w:rPr>
                <w:sz w:val="28"/>
                <w:szCs w:val="28"/>
              </w:rPr>
              <w:t xml:space="preserve"> (0618110)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610B38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610B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  <w:vMerge w:val="restart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</w:p>
        </w:tc>
        <w:tc>
          <w:tcPr>
            <w:tcW w:w="4784" w:type="dxa"/>
            <w:vAlign w:val="center"/>
          </w:tcPr>
          <w:p w:rsidR="00FC3EFC" w:rsidRPr="0052652E" w:rsidRDefault="00EF3846" w:rsidP="007F129C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2 6</w:t>
            </w:r>
            <w:r w:rsidR="007F129C"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>000,00</w:t>
            </w:r>
            <w:r w:rsidR="00E9393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FC3EFC">
        <w:tc>
          <w:tcPr>
            <w:tcW w:w="0" w:type="auto"/>
            <w:vMerge/>
            <w:vAlign w:val="center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FC3EFC" w:rsidRPr="0052652E" w:rsidRDefault="00EF3846" w:rsidP="007F129C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000,00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FC3EFC" w:rsidRPr="0052652E" w:rsidRDefault="00EF3846" w:rsidP="0052652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552A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8E552A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000,00 </w:t>
            </w:r>
            <w:r w:rsidR="00FC3EFC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B14436" w:rsidRDefault="003D6EF9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ч </w:t>
            </w:r>
            <w:r w:rsidR="00B14436">
              <w:rPr>
                <w:color w:val="000000"/>
                <w:sz w:val="28"/>
                <w:szCs w:val="28"/>
                <w:lang w:eastAsia="en-US"/>
              </w:rPr>
              <w:t xml:space="preserve">загальний фонд </w:t>
            </w:r>
          </w:p>
          <w:p w:rsidR="003D6EF9" w:rsidRDefault="007707D8" w:rsidP="00B14436">
            <w:pPr>
              <w:tabs>
                <w:tab w:val="left" w:pos="1134"/>
              </w:tabs>
              <w:ind w:right="28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2AE5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B14436">
              <w:rPr>
                <w:b/>
                <w:bCs/>
                <w:color w:val="000000"/>
                <w:sz w:val="28"/>
                <w:szCs w:val="28"/>
                <w:lang w:val="ru-RU"/>
              </w:rPr>
              <w:t>1 9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00 000,00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  <w:p w:rsidR="00B14436" w:rsidRDefault="00B14436" w:rsidP="00B14436">
            <w:pPr>
              <w:tabs>
                <w:tab w:val="left" w:pos="1134"/>
              </w:tabs>
              <w:ind w:right="28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0618110 – </w:t>
            </w:r>
            <w:r w:rsidR="004204B8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  <w:r w:rsidRPr="00B14436">
              <w:rPr>
                <w:b/>
                <w:color w:val="000000"/>
                <w:sz w:val="28"/>
                <w:szCs w:val="28"/>
                <w:lang w:eastAsia="en-US"/>
              </w:rPr>
              <w:t>00 000,00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грн</w:t>
            </w:r>
          </w:p>
          <w:p w:rsidR="007707D8" w:rsidRPr="00CE5A95" w:rsidRDefault="007707D8" w:rsidP="00EF3846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– </w:t>
            </w:r>
            <w:r w:rsidR="00EF3846" w:rsidRPr="008E552A">
              <w:rPr>
                <w:b/>
                <w:color w:val="000000"/>
                <w:sz w:val="28"/>
                <w:szCs w:val="28"/>
                <w:lang w:val="ru-RU" w:eastAsia="en-US"/>
              </w:rPr>
              <w:t>3</w:t>
            </w:r>
            <w:r w:rsidR="007F129C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  <w:r w:rsidR="004204B8">
              <w:rPr>
                <w:b/>
                <w:color w:val="000000"/>
                <w:sz w:val="28"/>
                <w:szCs w:val="28"/>
                <w:lang w:eastAsia="en-US"/>
              </w:rPr>
              <w:t>0 000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C804DC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1" w:name="n15"/>
      <w:bookmarkEnd w:id="1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FC3EFC" w:rsidRPr="00490C93" w:rsidRDefault="00FC3EFC" w:rsidP="00490C93">
      <w:pPr>
        <w:ind w:firstLine="708"/>
        <w:jc w:val="both"/>
        <w:rPr>
          <w:color w:val="FF0000"/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 ВИЗНАЧЕННЯ МЕТИ ПРОГРАМИ</w:t>
      </w:r>
    </w:p>
    <w:p w:rsidR="004B7653" w:rsidRPr="00FF32C5" w:rsidRDefault="004B7653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726AE3">
        <w:rPr>
          <w:sz w:val="28"/>
          <w:szCs w:val="28"/>
        </w:rPr>
        <w:t>4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490C93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490C93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4A06D9">
        <w:rPr>
          <w:sz w:val="28"/>
          <w:szCs w:val="28"/>
        </w:rPr>
        <w:t>;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здійснити комплекс охоро</w:t>
      </w:r>
      <w:r w:rsidR="004A06D9">
        <w:rPr>
          <w:sz w:val="28"/>
          <w:szCs w:val="28"/>
        </w:rPr>
        <w:t>нно-протипожежних заходів;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726AE3">
        <w:rPr>
          <w:sz w:val="28"/>
          <w:szCs w:val="28"/>
          <w:lang w:val="ru-RU" w:eastAsia="en-US"/>
        </w:rPr>
        <w:t>4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Pr="00490C93" w:rsidRDefault="004B7653" w:rsidP="00490C93">
      <w:pPr>
        <w:pStyle w:val="aa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>розширення і модернізація</w:t>
      </w:r>
      <w:r w:rsidR="004A06D9">
        <w:rPr>
          <w:sz w:val="28"/>
          <w:szCs w:val="28"/>
        </w:rPr>
        <w:t>;</w:t>
      </w:r>
      <w:r w:rsidR="00FC3EFC" w:rsidRPr="00C804DC">
        <w:rPr>
          <w:sz w:val="28"/>
          <w:szCs w:val="28"/>
        </w:rPr>
        <w:t xml:space="preserve">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</w:t>
      </w:r>
      <w:r w:rsidR="004A06D9">
        <w:rPr>
          <w:sz w:val="28"/>
          <w:szCs w:val="28"/>
        </w:rPr>
        <w:t>иток культурно-освітніх заходів.</w:t>
      </w:r>
    </w:p>
    <w:p w:rsidR="00FC3EFC" w:rsidRPr="00C804DC" w:rsidRDefault="00FC3EFC" w:rsidP="00C30417">
      <w:pPr>
        <w:tabs>
          <w:tab w:val="left" w:pos="993"/>
        </w:tabs>
        <w:jc w:val="both"/>
        <w:rPr>
          <w:sz w:val="28"/>
          <w:szCs w:val="28"/>
        </w:rPr>
      </w:pP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490C93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490C93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8C8">
        <w:rPr>
          <w:sz w:val="28"/>
          <w:szCs w:val="28"/>
        </w:rPr>
        <w:t>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490C93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490C93" w:rsidP="0077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490C93" w:rsidP="0077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C804DC" w:rsidRDefault="00FC3EFC" w:rsidP="00C30417">
      <w:pPr>
        <w:jc w:val="center"/>
        <w:rPr>
          <w:b/>
          <w:bCs/>
          <w:sz w:val="28"/>
          <w:szCs w:val="28"/>
        </w:rPr>
      </w:pPr>
    </w:p>
    <w:p w:rsidR="009F6A94" w:rsidRDefault="00FC3EFC" w:rsidP="00224503">
      <w:pPr>
        <w:ind w:firstLine="708"/>
        <w:jc w:val="both"/>
        <w:rPr>
          <w:sz w:val="28"/>
          <w:szCs w:val="28"/>
        </w:rPr>
      </w:pPr>
      <w:r w:rsidRPr="00224503">
        <w:rPr>
          <w:sz w:val="28"/>
          <w:szCs w:val="28"/>
        </w:rPr>
        <w:t xml:space="preserve">Контроль за виконанням Програми здійснює </w:t>
      </w:r>
      <w:r w:rsidR="0024420C" w:rsidRPr="00224503">
        <w:rPr>
          <w:sz w:val="28"/>
          <w:szCs w:val="28"/>
        </w:rPr>
        <w:t>постійна комісія з питань охорони здоров'я, соціального захисту, освіти, сім'ї, молоді, спорту, туризму та культури</w:t>
      </w:r>
    </w:p>
    <w:p w:rsidR="00224503" w:rsidRPr="00C804DC" w:rsidRDefault="00224503" w:rsidP="00224503">
      <w:pPr>
        <w:ind w:firstLine="708"/>
        <w:jc w:val="both"/>
        <w:rPr>
          <w:sz w:val="28"/>
          <w:szCs w:val="28"/>
        </w:rPr>
      </w:pPr>
    </w:p>
    <w:p w:rsidR="002435E5" w:rsidRPr="00224503" w:rsidRDefault="00FC3EFC" w:rsidP="00490C93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 xml:space="preserve">Додаток </w:t>
      </w:r>
      <w:r w:rsidR="00224503">
        <w:rPr>
          <w:sz w:val="28"/>
          <w:szCs w:val="28"/>
        </w:rPr>
        <w:t>№</w:t>
      </w:r>
      <w:r w:rsidRPr="00C804DC">
        <w:rPr>
          <w:sz w:val="28"/>
          <w:szCs w:val="28"/>
        </w:rPr>
        <w:t>1</w:t>
      </w: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до 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610B38">
        <w:rPr>
          <w:b/>
          <w:bCs/>
          <w:sz w:val="32"/>
          <w:szCs w:val="28"/>
          <w:lang w:val="ru-RU"/>
        </w:rPr>
        <w:t>4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610B38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610B38">
              <w:rPr>
                <w:b/>
                <w:bCs/>
                <w:sz w:val="28"/>
                <w:szCs w:val="28"/>
              </w:rPr>
              <w:t>4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EF3846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610B38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0C3784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03B73" w:rsidRPr="000C3784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50 </w:t>
            </w:r>
            <w:r w:rsidR="00203B73">
              <w:rPr>
                <w:b/>
                <w:bCs/>
                <w:color w:val="000000"/>
                <w:sz w:val="28"/>
                <w:szCs w:val="28"/>
                <w:lang w:val="ru-RU"/>
              </w:rPr>
              <w:t>000</w:t>
            </w:r>
            <w:r w:rsidR="00203B73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Pr="00C804DC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224503" w:rsidRDefault="00224503" w:rsidP="00490C93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>
        <w:rPr>
          <w:b/>
          <w:sz w:val="28"/>
          <w:szCs w:val="28"/>
        </w:rPr>
        <w:t xml:space="preserve">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4503" w:rsidRPr="00224503" w:rsidRDefault="00A6391D" w:rsidP="00224503">
      <w:pPr>
        <w:autoSpaceDE/>
        <w:autoSpaceDN/>
        <w:jc w:val="right"/>
        <w:rPr>
          <w:lang w:val="ru-RU"/>
        </w:rPr>
      </w:pPr>
      <w:proofErr w:type="spellStart"/>
      <w:r w:rsidRPr="00C804DC">
        <w:rPr>
          <w:lang w:val="ru-RU"/>
        </w:rPr>
        <w:lastRenderedPageBreak/>
        <w:t>Додаток</w:t>
      </w:r>
      <w:proofErr w:type="spellEnd"/>
      <w:r w:rsidRPr="00C804DC">
        <w:rPr>
          <w:lang w:val="ru-RU"/>
        </w:rPr>
        <w:t xml:space="preserve"> </w:t>
      </w:r>
      <w:r w:rsidR="00224503">
        <w:rPr>
          <w:lang w:val="ru-RU"/>
        </w:rPr>
        <w:t xml:space="preserve">№2 до </w:t>
      </w:r>
      <w:proofErr w:type="spellStart"/>
      <w:r w:rsidR="00224503">
        <w:rPr>
          <w:lang w:val="ru-RU"/>
        </w:rPr>
        <w:t>Програми</w:t>
      </w:r>
      <w:proofErr w:type="spellEnd"/>
    </w:p>
    <w:p w:rsidR="00472E96" w:rsidRDefault="00472E96" w:rsidP="00224503">
      <w:pPr>
        <w:jc w:val="center"/>
        <w:rPr>
          <w:b/>
          <w:bCs/>
          <w:sz w:val="28"/>
          <w:szCs w:val="28"/>
        </w:rPr>
      </w:pPr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610B38">
        <w:rPr>
          <w:b/>
          <w:bCs/>
          <w:sz w:val="32"/>
          <w:szCs w:val="28"/>
          <w:lang w:val="ru-RU"/>
        </w:rPr>
        <w:t>4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2614"/>
        <w:gridCol w:w="1209"/>
        <w:gridCol w:w="1985"/>
        <w:gridCol w:w="1606"/>
        <w:gridCol w:w="1346"/>
        <w:gridCol w:w="2479"/>
        <w:gridCol w:w="3285"/>
      </w:tblGrid>
      <w:tr w:rsidR="00A6391D" w:rsidRPr="00C804DC" w:rsidTr="0052652E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726A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726AE3">
              <w:rPr>
                <w:b/>
                <w:sz w:val="20"/>
                <w:szCs w:val="20"/>
              </w:rPr>
              <w:t>4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726AE3">
        <w:trPr>
          <w:trHeight w:val="14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726AE3">
              <w:rPr>
                <w:sz w:val="20"/>
                <w:szCs w:val="20"/>
              </w:rPr>
              <w:t>4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610B38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610B38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B14436" w:rsidRDefault="00E526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костюмів сценічних, автозапчастин, жалюзі, подарунків, пального та </w:t>
            </w:r>
            <w:r w:rsidR="00B14436">
              <w:rPr>
                <w:sz w:val="20"/>
                <w:szCs w:val="20"/>
              </w:rPr>
              <w:t>ін.</w:t>
            </w:r>
          </w:p>
          <w:p w:rsidR="00FD30F7" w:rsidRPr="000E742B" w:rsidRDefault="00E526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726AE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610B38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610B38" w:rsidP="00E939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526E3" w:rsidRDefault="00726A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крісел до глядацької зали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80F03" w:rsidRDefault="00726AE3" w:rsidP="003465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80F03" w:rsidRDefault="00726AE3" w:rsidP="003465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r>
              <w:rPr>
                <w:sz w:val="20"/>
                <w:szCs w:val="20"/>
              </w:rPr>
              <w:t>Авангард (</w:t>
            </w:r>
            <w:proofErr w:type="spellStart"/>
            <w:r>
              <w:rPr>
                <w:sz w:val="20"/>
                <w:szCs w:val="20"/>
              </w:rPr>
              <w:t>вул.Добрянського</w:t>
            </w:r>
            <w:proofErr w:type="spellEnd"/>
            <w:r>
              <w:rPr>
                <w:sz w:val="20"/>
                <w:szCs w:val="20"/>
              </w:rPr>
              <w:t>, 28)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proofErr w:type="spellStart"/>
            <w:r>
              <w:rPr>
                <w:sz w:val="20"/>
                <w:szCs w:val="20"/>
              </w:rPr>
              <w:t>Прилиманське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вул.Центральна</w:t>
            </w:r>
            <w:proofErr w:type="spellEnd"/>
            <w:r>
              <w:rPr>
                <w:sz w:val="20"/>
                <w:szCs w:val="20"/>
              </w:rPr>
              <w:t>, 120)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</w:t>
            </w:r>
            <w:r w:rsidRPr="003D592C">
              <w:rPr>
                <w:sz w:val="20"/>
                <w:szCs w:val="20"/>
              </w:rPr>
              <w:t xml:space="preserve"> ЦКП </w:t>
            </w:r>
            <w:r>
              <w:rPr>
                <w:sz w:val="20"/>
                <w:szCs w:val="20"/>
              </w:rPr>
              <w:t>Нова Долина (</w:t>
            </w:r>
            <w:proofErr w:type="spellStart"/>
            <w:r>
              <w:rPr>
                <w:sz w:val="20"/>
                <w:szCs w:val="20"/>
              </w:rPr>
              <w:t>вул.Кудряшова</w:t>
            </w:r>
            <w:proofErr w:type="spellEnd"/>
            <w:r>
              <w:rPr>
                <w:sz w:val="20"/>
                <w:szCs w:val="20"/>
              </w:rPr>
              <w:t xml:space="preserve"> Геннадія, 1)</w:t>
            </w:r>
          </w:p>
          <w:p w:rsidR="00726AE3" w:rsidRPr="00E526E3" w:rsidRDefault="00726AE3" w:rsidP="00726A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Проведення поточного ремонту будівлі ЦКП Радісне (</w:t>
            </w:r>
            <w:proofErr w:type="spellStart"/>
            <w:r>
              <w:rPr>
                <w:sz w:val="20"/>
                <w:szCs w:val="20"/>
              </w:rPr>
              <w:t>вул.Миру</w:t>
            </w:r>
            <w:proofErr w:type="spellEnd"/>
            <w:r>
              <w:rPr>
                <w:sz w:val="20"/>
                <w:szCs w:val="20"/>
              </w:rPr>
              <w:t>, 1)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200 000,00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Проведення поточного ремонту </w:t>
            </w:r>
            <w:r w:rsidRPr="00353736">
              <w:rPr>
                <w:sz w:val="20"/>
                <w:szCs w:val="20"/>
              </w:rPr>
              <w:t>приміщень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26AE3" w:rsidRDefault="00472E9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товарів та меблів</w:t>
            </w:r>
            <w:r w:rsidR="0072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облаштування укриття </w:t>
            </w:r>
            <w:r w:rsidR="00B14436">
              <w:rPr>
                <w:sz w:val="20"/>
                <w:szCs w:val="20"/>
              </w:rPr>
              <w:t xml:space="preserve">ЦКП Сьоме небо </w:t>
            </w:r>
            <w:r w:rsidR="00726AE3">
              <w:rPr>
                <w:sz w:val="20"/>
                <w:szCs w:val="20"/>
              </w:rPr>
              <w:t xml:space="preserve">за </w:t>
            </w:r>
            <w:proofErr w:type="spellStart"/>
            <w:r w:rsidR="00726AE3">
              <w:rPr>
                <w:sz w:val="20"/>
                <w:szCs w:val="20"/>
              </w:rPr>
              <w:t>адресою</w:t>
            </w:r>
            <w:proofErr w:type="spellEnd"/>
            <w:r w:rsidR="00B14436">
              <w:rPr>
                <w:sz w:val="20"/>
                <w:szCs w:val="20"/>
              </w:rPr>
              <w:t xml:space="preserve"> </w:t>
            </w:r>
            <w:proofErr w:type="spellStart"/>
            <w:r w:rsidR="00B14436">
              <w:rPr>
                <w:sz w:val="20"/>
                <w:szCs w:val="20"/>
              </w:rPr>
              <w:t>вул.Торгова</w:t>
            </w:r>
            <w:proofErr w:type="spellEnd"/>
            <w:r w:rsidR="00B14436">
              <w:rPr>
                <w:sz w:val="20"/>
                <w:szCs w:val="20"/>
              </w:rPr>
              <w:t>, 15</w:t>
            </w:r>
          </w:p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B1443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 w:rsidR="00B14436"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472E9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="00B14436">
              <w:rPr>
                <w:sz w:val="20"/>
                <w:szCs w:val="20"/>
              </w:rPr>
              <w:t>для створення належних умов для творчої праці та захисту населення</w:t>
            </w:r>
          </w:p>
        </w:tc>
      </w:tr>
      <w:tr w:rsidR="00726AE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726AE3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26AE3" w:rsidRDefault="00472E9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 товарів та меблів</w:t>
            </w:r>
            <w:r w:rsidR="00B14436" w:rsidRPr="003D59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="00B14436">
              <w:rPr>
                <w:sz w:val="20"/>
                <w:szCs w:val="20"/>
              </w:rPr>
              <w:t xml:space="preserve"> облаштування укриття ЦКП </w:t>
            </w:r>
            <w:proofErr w:type="spellStart"/>
            <w:r w:rsidR="00B14436">
              <w:rPr>
                <w:sz w:val="20"/>
                <w:szCs w:val="20"/>
              </w:rPr>
              <w:t>Хлібодарське</w:t>
            </w:r>
            <w:proofErr w:type="spellEnd"/>
            <w:r w:rsidR="00B14436">
              <w:rPr>
                <w:sz w:val="20"/>
                <w:szCs w:val="20"/>
              </w:rPr>
              <w:t xml:space="preserve"> за </w:t>
            </w:r>
            <w:proofErr w:type="spellStart"/>
            <w:r w:rsidR="00B14436">
              <w:rPr>
                <w:sz w:val="20"/>
                <w:szCs w:val="20"/>
              </w:rPr>
              <w:t>адресою</w:t>
            </w:r>
            <w:proofErr w:type="spellEnd"/>
            <w:r w:rsidR="00B14436">
              <w:rPr>
                <w:sz w:val="20"/>
                <w:szCs w:val="20"/>
              </w:rPr>
              <w:t xml:space="preserve"> </w:t>
            </w:r>
            <w:proofErr w:type="spellStart"/>
            <w:r w:rsidR="00B14436">
              <w:rPr>
                <w:sz w:val="20"/>
                <w:szCs w:val="20"/>
              </w:rPr>
              <w:t>вул.Маяцька</w:t>
            </w:r>
            <w:proofErr w:type="spellEnd"/>
            <w:r w:rsidR="00B14436">
              <w:rPr>
                <w:sz w:val="20"/>
                <w:szCs w:val="20"/>
              </w:rPr>
              <w:t xml:space="preserve"> дорога, 13</w:t>
            </w:r>
          </w:p>
          <w:p w:rsidR="00B14436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B14436" w:rsidRPr="00E526E3" w:rsidRDefault="00B14436" w:rsidP="000E742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F503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D918FB" w:rsidRDefault="00726AE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3465F2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Default="00B1443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EA0F3A" w:rsidRDefault="00472E9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для створення належних умов для творчої праці та захисту населення</w:t>
            </w:r>
          </w:p>
        </w:tc>
      </w:tr>
      <w:tr w:rsidR="007F129C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7F129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Розробка проектно-кошторисної документації на п</w:t>
            </w:r>
            <w:r w:rsidRPr="007F129C">
              <w:rPr>
                <w:sz w:val="20"/>
                <w:szCs w:val="20"/>
              </w:rPr>
              <w:t xml:space="preserve">ослуги із встановлення модульної споруди із облаштуванням найпростішого укриття та прилеглої території, за </w:t>
            </w:r>
            <w:proofErr w:type="spellStart"/>
            <w:r w:rsidRPr="007F129C">
              <w:rPr>
                <w:sz w:val="20"/>
                <w:szCs w:val="20"/>
              </w:rPr>
              <w:t>адресою</w:t>
            </w:r>
            <w:proofErr w:type="spellEnd"/>
            <w:r w:rsidRPr="007F129C">
              <w:rPr>
                <w:sz w:val="20"/>
                <w:szCs w:val="20"/>
              </w:rPr>
              <w:t xml:space="preserve">: </w:t>
            </w:r>
            <w:r w:rsidRPr="00203B73">
              <w:rPr>
                <w:sz w:val="20"/>
                <w:szCs w:val="20"/>
              </w:rPr>
              <w:t>с. Радісне, вул. Миру будинок 1А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Pr="00D918FB" w:rsidRDefault="007F129C" w:rsidP="007F129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F129C" w:rsidRPr="00D918FB" w:rsidRDefault="007F129C" w:rsidP="007F129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9C" w:rsidRDefault="007F129C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Визначення вартості послуг з  облаштування споруди для захисту населення </w:t>
            </w:r>
          </w:p>
        </w:tc>
      </w:tr>
      <w:tr w:rsidR="00203B73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7F129C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7F129C" w:rsidP="007F129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F129C">
              <w:rPr>
                <w:sz w:val="20"/>
                <w:szCs w:val="20"/>
              </w:rPr>
              <w:t xml:space="preserve">Послуги із встановлення модульної споруди із облаштуванням найпростішого укриття та прилеглої території, за </w:t>
            </w:r>
            <w:proofErr w:type="spellStart"/>
            <w:r w:rsidRPr="007F129C">
              <w:rPr>
                <w:sz w:val="20"/>
                <w:szCs w:val="20"/>
              </w:rPr>
              <w:t>адресою</w:t>
            </w:r>
            <w:proofErr w:type="spellEnd"/>
            <w:r w:rsidRPr="007F129C">
              <w:rPr>
                <w:sz w:val="20"/>
                <w:szCs w:val="20"/>
              </w:rPr>
              <w:t xml:space="preserve">: </w:t>
            </w:r>
            <w:r w:rsidR="00203B73" w:rsidRPr="00203B73">
              <w:rPr>
                <w:sz w:val="20"/>
                <w:szCs w:val="20"/>
              </w:rPr>
              <w:t>с. Радісне, вул. Миру будинок 1А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203B7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203B73" w:rsidP="003465F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D918FB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203B73" w:rsidRPr="00D918FB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EF384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="007F129C">
              <w:rPr>
                <w:bCs/>
                <w:color w:val="000000"/>
                <w:sz w:val="20"/>
                <w:szCs w:val="20"/>
              </w:rPr>
              <w:t>00</w:t>
            </w:r>
            <w:r w:rsidR="00203B73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Default="00EF3846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300</w:t>
            </w:r>
            <w:r w:rsidR="00203B73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EA0F3A" w:rsidRDefault="00203B73" w:rsidP="00203B7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Створення належних умов для захисту населення та творчої праці</w:t>
            </w:r>
          </w:p>
        </w:tc>
      </w:tr>
      <w:tr w:rsidR="00726AE3" w:rsidRPr="00C804DC" w:rsidTr="0052652E">
        <w:trPr>
          <w:trHeight w:val="510"/>
        </w:trPr>
        <w:tc>
          <w:tcPr>
            <w:tcW w:w="6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6B6F59" w:rsidRDefault="00EF3846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2 650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726AE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9D56BF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E552A">
              <w:rPr>
                <w:b/>
                <w:bCs/>
                <w:color w:val="000000"/>
                <w:sz w:val="20"/>
                <w:szCs w:val="20"/>
                <w:lang w:val="ru-RU"/>
              </w:rPr>
              <w:t>2 650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  <w:p w:rsidR="00203B73" w:rsidRPr="006B6F59" w:rsidRDefault="00726AE3" w:rsidP="007F129C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F129C">
              <w:rPr>
                <w:b/>
                <w:bCs/>
                <w:color w:val="000000"/>
                <w:sz w:val="20"/>
                <w:szCs w:val="20"/>
                <w:lang w:val="ru-RU"/>
              </w:rPr>
              <w:t>2 300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000,00</w:t>
            </w:r>
          </w:p>
          <w:p w:rsidR="00726AE3" w:rsidRPr="006B6F59" w:rsidRDefault="00726AE3" w:rsidP="00EF3846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129C"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="007F129C" w:rsidRPr="007F12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129C">
              <w:rPr>
                <w:b/>
                <w:bCs/>
                <w:color w:val="000000"/>
                <w:sz w:val="20"/>
                <w:szCs w:val="20"/>
              </w:rPr>
              <w:t>заг</w:t>
            </w:r>
            <w:r w:rsidR="007F129C">
              <w:rPr>
                <w:b/>
                <w:bCs/>
                <w:color w:val="000000"/>
                <w:sz w:val="20"/>
                <w:szCs w:val="20"/>
              </w:rPr>
              <w:t>ал</w:t>
            </w:r>
            <w:r w:rsidRPr="007F129C">
              <w:rPr>
                <w:b/>
                <w:bCs/>
                <w:color w:val="000000"/>
                <w:sz w:val="20"/>
                <w:szCs w:val="20"/>
              </w:rPr>
              <w:t>. фонд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="00EF3846" w:rsidRPr="008E552A"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7F129C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4204B8">
              <w:rPr>
                <w:b/>
                <w:bCs/>
                <w:color w:val="000000"/>
                <w:sz w:val="20"/>
                <w:szCs w:val="20"/>
              </w:rPr>
              <w:t xml:space="preserve"> 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="004A06D9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000000"/>
                <w:sz w:val="20"/>
                <w:szCs w:val="20"/>
              </w:rPr>
              <w:t>спец.</w:t>
            </w:r>
            <w:r w:rsidR="007F12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фонд 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726AE3" w:rsidRPr="00C804DC" w:rsidTr="0052652E">
        <w:trPr>
          <w:trHeight w:val="510"/>
        </w:trPr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157DFF" w:rsidRDefault="00726AE3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726AE3" w:rsidRPr="00C804DC" w:rsidRDefault="00726AE3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2 650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6B6F59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3" w:rsidRPr="006B6F59" w:rsidRDefault="00EF3846" w:rsidP="00203B7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2 650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203B73">
              <w:rPr>
                <w:b/>
                <w:bCs/>
                <w:color w:val="000000"/>
                <w:sz w:val="20"/>
                <w:szCs w:val="20"/>
                <w:lang w:val="ru-RU"/>
              </w:rPr>
              <w:t>000,00</w:t>
            </w:r>
          </w:p>
          <w:p w:rsidR="00726AE3" w:rsidRPr="006B6F59" w:rsidRDefault="00726AE3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3" w:rsidRPr="00C804DC" w:rsidRDefault="00726AE3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FF32C5" w:rsidRDefault="00FF32C5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490C93" w:rsidRDefault="00224503" w:rsidP="00490C93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  <w:sectPr w:rsidR="00224503" w:rsidRPr="00490C93" w:rsidSect="00472E96">
          <w:pgSz w:w="16838" w:h="11906" w:orient="landscape" w:code="9"/>
          <w:pgMar w:top="1276" w:right="1134" w:bottom="1134" w:left="1134" w:header="709" w:footer="709" w:gutter="0"/>
          <w:cols w:space="708"/>
          <w:docGrid w:linePitch="360"/>
        </w:sect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>
        <w:rPr>
          <w:b/>
          <w:sz w:val="28"/>
          <w:szCs w:val="28"/>
        </w:rPr>
        <w:t xml:space="preserve">         </w:t>
      </w:r>
      <w:r w:rsidR="00607F05">
        <w:rPr>
          <w:b/>
          <w:sz w:val="28"/>
          <w:szCs w:val="28"/>
          <w:lang w:val="ru-RU"/>
        </w:rPr>
        <w:t xml:space="preserve">        </w:t>
      </w:r>
      <w:r w:rsidR="00490C93">
        <w:rPr>
          <w:b/>
          <w:sz w:val="28"/>
          <w:szCs w:val="28"/>
        </w:rPr>
        <w:t xml:space="preserve">        Валентина ЩУР</w:t>
      </w:r>
    </w:p>
    <w:p w:rsidR="00F03F63" w:rsidRPr="00C804DC" w:rsidRDefault="00F03F63" w:rsidP="00490C93">
      <w:pPr>
        <w:autoSpaceDE/>
        <w:autoSpaceDN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E4" w:rsidRDefault="00C45BE4" w:rsidP="00FC3EFC">
      <w:r>
        <w:separator/>
      </w:r>
    </w:p>
  </w:endnote>
  <w:endnote w:type="continuationSeparator" w:id="0">
    <w:p w:rsidR="00C45BE4" w:rsidRDefault="00C45BE4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E4" w:rsidRDefault="00C45BE4" w:rsidP="00FC3EFC">
      <w:r>
        <w:separator/>
      </w:r>
    </w:p>
  </w:footnote>
  <w:footnote w:type="continuationSeparator" w:id="0">
    <w:p w:rsidR="00C45BE4" w:rsidRDefault="00C45BE4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F502A"/>
    <w:multiLevelType w:val="hybridMultilevel"/>
    <w:tmpl w:val="3844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A236D"/>
    <w:rsid w:val="000A4342"/>
    <w:rsid w:val="000B3F04"/>
    <w:rsid w:val="000C3784"/>
    <w:rsid w:val="000C54AB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D38"/>
    <w:rsid w:val="001F7563"/>
    <w:rsid w:val="00202607"/>
    <w:rsid w:val="00203B73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38E0"/>
    <w:rsid w:val="0031360C"/>
    <w:rsid w:val="0032380B"/>
    <w:rsid w:val="00330C85"/>
    <w:rsid w:val="00332FC1"/>
    <w:rsid w:val="00336A0D"/>
    <w:rsid w:val="0034194A"/>
    <w:rsid w:val="003465F2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5A89"/>
    <w:rsid w:val="003D6EF9"/>
    <w:rsid w:val="004204B8"/>
    <w:rsid w:val="004223BC"/>
    <w:rsid w:val="00426442"/>
    <w:rsid w:val="004273D1"/>
    <w:rsid w:val="00435EA2"/>
    <w:rsid w:val="0043620A"/>
    <w:rsid w:val="00460552"/>
    <w:rsid w:val="00461CE2"/>
    <w:rsid w:val="00463DAD"/>
    <w:rsid w:val="00472E96"/>
    <w:rsid w:val="004758B6"/>
    <w:rsid w:val="004763EA"/>
    <w:rsid w:val="004800F6"/>
    <w:rsid w:val="00490C93"/>
    <w:rsid w:val="004A06D9"/>
    <w:rsid w:val="004A51DD"/>
    <w:rsid w:val="004B7653"/>
    <w:rsid w:val="004C4A02"/>
    <w:rsid w:val="004D1447"/>
    <w:rsid w:val="004D2FE6"/>
    <w:rsid w:val="004D480A"/>
    <w:rsid w:val="004D7627"/>
    <w:rsid w:val="004E079F"/>
    <w:rsid w:val="004E6E4D"/>
    <w:rsid w:val="004E7B81"/>
    <w:rsid w:val="004F059A"/>
    <w:rsid w:val="004F5A5A"/>
    <w:rsid w:val="00502542"/>
    <w:rsid w:val="005046C5"/>
    <w:rsid w:val="00521F2C"/>
    <w:rsid w:val="00522B98"/>
    <w:rsid w:val="0052652E"/>
    <w:rsid w:val="0053276E"/>
    <w:rsid w:val="00533D87"/>
    <w:rsid w:val="00552FE4"/>
    <w:rsid w:val="005566AB"/>
    <w:rsid w:val="00556EBB"/>
    <w:rsid w:val="005602AB"/>
    <w:rsid w:val="005679FF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E2C05"/>
    <w:rsid w:val="006F0212"/>
    <w:rsid w:val="0070398A"/>
    <w:rsid w:val="00703D18"/>
    <w:rsid w:val="00725429"/>
    <w:rsid w:val="00726AE3"/>
    <w:rsid w:val="00743EF7"/>
    <w:rsid w:val="00746006"/>
    <w:rsid w:val="007505CD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D23A9"/>
    <w:rsid w:val="007D7702"/>
    <w:rsid w:val="007E3658"/>
    <w:rsid w:val="007E4825"/>
    <w:rsid w:val="007F129C"/>
    <w:rsid w:val="00800002"/>
    <w:rsid w:val="0080169A"/>
    <w:rsid w:val="00803F4E"/>
    <w:rsid w:val="0080445F"/>
    <w:rsid w:val="008303B4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E3D0D"/>
    <w:rsid w:val="008E552A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F6"/>
    <w:rsid w:val="00933D6B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8C3"/>
    <w:rsid w:val="00AB1B56"/>
    <w:rsid w:val="00AC14E9"/>
    <w:rsid w:val="00AC5840"/>
    <w:rsid w:val="00AC6A14"/>
    <w:rsid w:val="00AD36EC"/>
    <w:rsid w:val="00AF1D74"/>
    <w:rsid w:val="00AF7820"/>
    <w:rsid w:val="00B015B0"/>
    <w:rsid w:val="00B14436"/>
    <w:rsid w:val="00B30E90"/>
    <w:rsid w:val="00B327EA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C035BE"/>
    <w:rsid w:val="00C137A1"/>
    <w:rsid w:val="00C30417"/>
    <w:rsid w:val="00C348C8"/>
    <w:rsid w:val="00C359D8"/>
    <w:rsid w:val="00C45BE4"/>
    <w:rsid w:val="00C50B43"/>
    <w:rsid w:val="00C6142E"/>
    <w:rsid w:val="00C6233D"/>
    <w:rsid w:val="00C6324C"/>
    <w:rsid w:val="00C63310"/>
    <w:rsid w:val="00C66C7F"/>
    <w:rsid w:val="00C804DC"/>
    <w:rsid w:val="00C9416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C150E"/>
    <w:rsid w:val="00DC549C"/>
    <w:rsid w:val="00DC6CD6"/>
    <w:rsid w:val="00DE30A9"/>
    <w:rsid w:val="00DF503B"/>
    <w:rsid w:val="00E0316E"/>
    <w:rsid w:val="00E11564"/>
    <w:rsid w:val="00E15282"/>
    <w:rsid w:val="00E47AE9"/>
    <w:rsid w:val="00E526E3"/>
    <w:rsid w:val="00E6216E"/>
    <w:rsid w:val="00E650C6"/>
    <w:rsid w:val="00E76C51"/>
    <w:rsid w:val="00E778A3"/>
    <w:rsid w:val="00E916C5"/>
    <w:rsid w:val="00E93935"/>
    <w:rsid w:val="00EA0F3A"/>
    <w:rsid w:val="00EA38CF"/>
    <w:rsid w:val="00EA488A"/>
    <w:rsid w:val="00EA654A"/>
    <w:rsid w:val="00EB114B"/>
    <w:rsid w:val="00EB66B3"/>
    <w:rsid w:val="00EC34A6"/>
    <w:rsid w:val="00EC59B2"/>
    <w:rsid w:val="00ED69EB"/>
    <w:rsid w:val="00EE1D9C"/>
    <w:rsid w:val="00EF3846"/>
    <w:rsid w:val="00EF4F69"/>
    <w:rsid w:val="00F03D63"/>
    <w:rsid w:val="00F03F63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7805-6A28-4788-9958-DB2E9A0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7E9A-A354-4795-AF9F-F3C69529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0</TotalTime>
  <Pages>10</Pages>
  <Words>1810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2024-05-10T06:31:00Z</cp:lastPrinted>
  <dcterms:created xsi:type="dcterms:W3CDTF">2024-05-10T06:33:00Z</dcterms:created>
  <dcterms:modified xsi:type="dcterms:W3CDTF">2024-05-10T06:33:00Z</dcterms:modified>
</cp:coreProperties>
</file>