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F688" w14:textId="77777777" w:rsidR="00D503D6" w:rsidRPr="00D503D6" w:rsidRDefault="00D503D6">
      <w:pPr>
        <w:rPr>
          <w:sz w:val="28"/>
          <w:szCs w:val="28"/>
          <w:lang w:val="uk-UA"/>
        </w:rPr>
      </w:pPr>
    </w:p>
    <w:p w14:paraId="4AEF6D9D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4CF4C7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760D7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2AFD2F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3FCF2F" w14:textId="78D1DE38" w:rsidR="008365DC" w:rsidRP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FC397A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3603BE" w14:textId="77777777" w:rsidR="008365DC" w:rsidRDefault="008365DC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D07C97" w14:textId="77777777" w:rsidR="008365DC" w:rsidRDefault="008365DC" w:rsidP="008365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6FEA2" w14:textId="77777777" w:rsidR="0022644C" w:rsidRDefault="0022644C" w:rsidP="008365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487B61" w14:textId="77777777" w:rsidR="008365DC" w:rsidRDefault="008365DC" w:rsidP="008365D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0E044F9" w14:textId="77777777" w:rsidR="0022644C" w:rsidRDefault="0022644C" w:rsidP="008365D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6C2D47A" w14:textId="77777777" w:rsidR="0022644C" w:rsidRPr="0022644C" w:rsidRDefault="0022644C" w:rsidP="008365D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049C82C" w14:textId="13AF8F7C" w:rsidR="00EB6243" w:rsidRPr="0022644C" w:rsidRDefault="00EB6243" w:rsidP="008365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65D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r w:rsidR="008365DC" w:rsidRPr="008365DC">
        <w:rPr>
          <w:rFonts w:ascii="Times New Roman" w:hAnsi="Times New Roman" w:cs="Times New Roman"/>
          <w:sz w:val="28"/>
          <w:szCs w:val="28"/>
        </w:rPr>
        <w:t>від 22.12.2023</w:t>
      </w:r>
      <w:r w:rsidR="0022644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09911CF9" w14:textId="2AE003FE" w:rsidR="00EB6243" w:rsidRPr="008365DC" w:rsidRDefault="00EB6243" w:rsidP="00836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5DC">
        <w:rPr>
          <w:rFonts w:ascii="Times New Roman" w:hAnsi="Times New Roman" w:cs="Times New Roman"/>
          <w:sz w:val="28"/>
          <w:szCs w:val="28"/>
        </w:rPr>
        <w:t xml:space="preserve">№ </w:t>
      </w:r>
      <w:r w:rsidR="00E227C3" w:rsidRPr="008365DC">
        <w:rPr>
          <w:rFonts w:ascii="Times New Roman" w:hAnsi="Times New Roman" w:cs="Times New Roman"/>
          <w:sz w:val="28"/>
          <w:szCs w:val="28"/>
        </w:rPr>
        <w:t>2475</w:t>
      </w:r>
      <w:r w:rsidRPr="008365DC">
        <w:rPr>
          <w:rFonts w:ascii="Times New Roman" w:hAnsi="Times New Roman" w:cs="Times New Roman"/>
          <w:sz w:val="28"/>
          <w:szCs w:val="28"/>
        </w:rPr>
        <w:t xml:space="preserve">-VIII </w:t>
      </w:r>
      <w:r w:rsidR="008365DC" w:rsidRPr="008365DC">
        <w:rPr>
          <w:rFonts w:ascii="Times New Roman" w:hAnsi="Times New Roman" w:cs="Times New Roman"/>
          <w:sz w:val="28"/>
          <w:szCs w:val="28"/>
        </w:rPr>
        <w:t>«Про затвердження структури</w:t>
      </w:r>
    </w:p>
    <w:p w14:paraId="5C9DF321" w14:textId="70A08AAF" w:rsidR="00DE0200" w:rsidRPr="008365DC" w:rsidRDefault="00DE0200" w:rsidP="00836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5DC">
        <w:rPr>
          <w:rFonts w:ascii="Times New Roman" w:hAnsi="Times New Roman" w:cs="Times New Roman"/>
          <w:sz w:val="28"/>
          <w:szCs w:val="28"/>
        </w:rPr>
        <w:t>і чисельності</w:t>
      </w:r>
      <w:r w:rsidR="008365DC" w:rsidRPr="008365DC">
        <w:rPr>
          <w:rFonts w:ascii="Times New Roman" w:hAnsi="Times New Roman" w:cs="Times New Roman"/>
          <w:sz w:val="28"/>
          <w:szCs w:val="28"/>
        </w:rPr>
        <w:t xml:space="preserve"> та  штатного розпису Відділу</w:t>
      </w:r>
    </w:p>
    <w:p w14:paraId="73CCF9F2" w14:textId="424A44C7" w:rsidR="00B9397A" w:rsidRPr="008365DC" w:rsidRDefault="00157A35" w:rsidP="00836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5DC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  <w:r w:rsidR="008365DC" w:rsidRPr="008365DC">
        <w:rPr>
          <w:rFonts w:ascii="Times New Roman" w:hAnsi="Times New Roman" w:cs="Times New Roman"/>
          <w:sz w:val="28"/>
          <w:szCs w:val="28"/>
        </w:rPr>
        <w:t xml:space="preserve"> Авангардівської</w:t>
      </w:r>
    </w:p>
    <w:p w14:paraId="199DBD3D" w14:textId="186824C8" w:rsidR="008805FD" w:rsidRPr="008365DC" w:rsidRDefault="00B9397A" w:rsidP="00836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5DC">
        <w:rPr>
          <w:rFonts w:ascii="Times New Roman" w:hAnsi="Times New Roman" w:cs="Times New Roman"/>
          <w:sz w:val="28"/>
          <w:szCs w:val="28"/>
        </w:rPr>
        <w:t>селищної  ради</w:t>
      </w:r>
      <w:r w:rsidR="0022644C">
        <w:rPr>
          <w:rFonts w:ascii="Times New Roman" w:hAnsi="Times New Roman" w:cs="Times New Roman"/>
          <w:sz w:val="28"/>
          <w:szCs w:val="28"/>
        </w:rPr>
        <w:t xml:space="preserve"> на </w:t>
      </w:r>
      <w:r w:rsidR="008805FD" w:rsidRPr="008365DC">
        <w:rPr>
          <w:rFonts w:ascii="Times New Roman" w:hAnsi="Times New Roman" w:cs="Times New Roman"/>
          <w:sz w:val="28"/>
          <w:szCs w:val="28"/>
        </w:rPr>
        <w:t>202</w:t>
      </w:r>
      <w:r w:rsidR="00AE36AC" w:rsidRPr="008365DC">
        <w:rPr>
          <w:rFonts w:ascii="Times New Roman" w:hAnsi="Times New Roman" w:cs="Times New Roman"/>
          <w:sz w:val="28"/>
          <w:szCs w:val="28"/>
        </w:rPr>
        <w:t>4</w:t>
      </w:r>
      <w:r w:rsidR="008805FD" w:rsidRPr="008365DC">
        <w:rPr>
          <w:rFonts w:ascii="Times New Roman" w:hAnsi="Times New Roman" w:cs="Times New Roman"/>
          <w:sz w:val="28"/>
          <w:szCs w:val="28"/>
        </w:rPr>
        <w:t xml:space="preserve"> рік</w:t>
      </w:r>
      <w:r w:rsidR="00EB6243" w:rsidRPr="008365DC">
        <w:rPr>
          <w:rFonts w:ascii="Times New Roman" w:hAnsi="Times New Roman" w:cs="Times New Roman"/>
          <w:sz w:val="28"/>
          <w:szCs w:val="28"/>
        </w:rPr>
        <w:t>»</w:t>
      </w:r>
    </w:p>
    <w:p w14:paraId="6C744DB5" w14:textId="77777777" w:rsidR="008B0303" w:rsidRPr="008365DC" w:rsidRDefault="008B0303" w:rsidP="004E22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58672D8" w14:textId="276D5F61" w:rsidR="008365DC" w:rsidRPr="002D70CC" w:rsidRDefault="0022644C" w:rsidP="002D70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269D0" w:rsidRPr="002264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269D0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статус ветеранів війни, гарантії їх соціального захисту» зі змінами та доповненнями, постанови Кабінету Міністрів України від 02 серпня 2024 року № 881 «Деякі питання забезпечення інституту помічника ветерана в системі переходу від військової служби до цивільного життя», постанови Кабінету Міністрів України  від 05 липня 2024 року № 779 «Порядок та умови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осіб, які  захищали незалежність, суверенітет та тери</w:t>
      </w:r>
      <w:r w:rsidR="008365DC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торіальну цілісність України», </w:t>
      </w:r>
      <w:r w:rsidR="00B269D0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та умов надання психологічної допомоги ветеранам війни, членам їх сімей та деяким іншим категоріям осіб, затвердженими постановою  Кабінету Міністрів України  від 29 листопада 2022 року  № 1338 (редакції постанови Кабінету Міністрів України від 04 грудня 2023 №1270), Професійного стандарту «Фахівець із супроводу ветеранів війни та демобілізованих осіб», затвердженого наказом Міністерства у справах ветеранів Ук</w:t>
      </w:r>
      <w:r w:rsidR="008365DC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раїни від 09 квітня 2024 року №</w:t>
      </w:r>
      <w:r w:rsidR="00B269D0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111,  наказу Міністерства соціальної політики України від 11 квітня 2024 року № 175-Н «Про затвердження Державного стандарту соціальної послуги соціальної адаптації ветеранів війни та членів їхніх сімей та внесення змін до класифікатора соціальних послуг», зареєстровано в Міністерстві юстиції України 04 червня 2024 року за № 828/42173  та забезпечення виконання листа Міністерства у справах ветеранів Ук</w:t>
      </w:r>
      <w:r w:rsidR="002D7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раїни від 09 серпня 2024 року №</w:t>
      </w:r>
      <w:r w:rsidR="00B269D0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13106-1.6-8.1-24 щодо реалізації права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на </w:t>
      </w:r>
      <w:r w:rsidR="00B269D0" w:rsidRPr="002264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забезпечення інституту </w:t>
      </w:r>
      <w:r w:rsidR="008365DC" w:rsidRPr="002264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помічника ветерана в системі переходу від військової служби до цивільного життя</w:t>
      </w:r>
      <w:r w:rsidR="008365DC" w:rsidRPr="00226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5DC" w:rsidRPr="002264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реалізації права ветеранів війни та членів їх сімей</w:t>
      </w:r>
      <w:r w:rsidR="008365DC" w:rsidRPr="0022644C">
        <w:rPr>
          <w:rFonts w:ascii="Times New Roman" w:hAnsi="Times New Roman" w:cs="Times New Roman"/>
          <w:sz w:val="28"/>
          <w:szCs w:val="28"/>
          <w:lang w:val="uk-UA"/>
        </w:rPr>
        <w:t>, Авангардівська селищна рада</w:t>
      </w:r>
      <w:r w:rsidR="008365DC" w:rsidRPr="00226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14:paraId="18C511C9" w14:textId="2D1DBF2C" w:rsidR="008365DC" w:rsidRDefault="002D70CC" w:rsidP="008365D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№3077</w:t>
      </w:r>
      <w:r w:rsidR="008365DC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365DC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365DC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365DC" w:rsidRPr="008365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8921BA" w14:textId="6C4270D6" w:rsidR="008365DC" w:rsidRPr="008365DC" w:rsidRDefault="008365DC" w:rsidP="008365D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</w:p>
    <w:p w14:paraId="1648571C" w14:textId="78D0E43E" w:rsidR="008365DC" w:rsidRPr="008365DC" w:rsidRDefault="00D2069D" w:rsidP="00773D9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BF2EDC" w:rsidRPr="007901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6C1B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9D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D70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69D0">
        <w:rPr>
          <w:rFonts w:ascii="Times New Roman" w:hAnsi="Times New Roman" w:cs="Times New Roman"/>
          <w:sz w:val="28"/>
          <w:szCs w:val="28"/>
          <w:lang w:val="uk-UA"/>
        </w:rPr>
        <w:t xml:space="preserve"> Відділі соціального захисту населення 1 штатну одиницю головного спеціаліста з питань ветеранської політики та в</w:t>
      </w:r>
      <w:r w:rsidR="00AB2E51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D70CC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Pr="00D2069D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69D">
        <w:rPr>
          <w:rFonts w:ascii="Times New Roman" w:hAnsi="Times New Roman" w:cs="Times New Roman"/>
          <w:sz w:val="28"/>
          <w:szCs w:val="28"/>
          <w:lang w:val="uk-UA"/>
        </w:rPr>
        <w:t>та  штатного розпису</w:t>
      </w:r>
      <w:r w:rsidR="00B269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0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1D0ED3" w14:textId="3489350B" w:rsidR="008365DC" w:rsidRPr="008365DC" w:rsidRDefault="00AB2E51" w:rsidP="002D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21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9D0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начальна Відділу соціального захисту Авангардівської селищної ради Жанну ДЕРЛІ</w:t>
      </w:r>
      <w:r w:rsidR="00AE3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BA8F6" w14:textId="103C4754" w:rsidR="008365DC" w:rsidRDefault="008365DC" w:rsidP="008365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B2E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2EDC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>розвитку, інвестицій, міжнародного співробітництва та регуляторної політики.</w:t>
      </w:r>
    </w:p>
    <w:p w14:paraId="138B25E5" w14:textId="27DA369F" w:rsidR="007901C0" w:rsidRDefault="007901C0" w:rsidP="008A6C1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5F36D" w14:textId="77777777" w:rsid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6865E1" w14:textId="77777777" w:rsidR="007901C0" w:rsidRP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934F1" w14:textId="2DA572D5" w:rsidR="00FD2B2D" w:rsidRPr="007901C0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</w:t>
      </w:r>
      <w:r w:rsidR="00BF2EDC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3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3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6610D0F9" w14:textId="77777777" w:rsidR="008805FD" w:rsidRPr="007901C0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C8CDE" w14:textId="121A1489" w:rsidR="008365DC" w:rsidRDefault="008805FD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2644C">
        <w:rPr>
          <w:rFonts w:ascii="Times New Roman" w:hAnsi="Times New Roman" w:cs="Times New Roman"/>
          <w:b/>
          <w:sz w:val="28"/>
          <w:szCs w:val="28"/>
          <w:lang w:val="uk-UA"/>
        </w:rPr>
        <w:t>3077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B0303" w:rsidRPr="008365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3C483AE" w14:textId="56959A10" w:rsidR="005675C1" w:rsidRDefault="008805FD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365DC"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</w:p>
    <w:p w14:paraId="21946FC0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6E111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F9E516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B1EA63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B8C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211C84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AE4EEB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FB07B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C52374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43064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470D9A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FCAA68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CBA0FE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134ECC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691D9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00435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841E6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4004BF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C3E236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778398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B1A75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92CE6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78198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D12907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58FFF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729B1" w14:textId="77777777" w:rsidR="00B269D0" w:rsidRDefault="00B269D0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5CD1CC" w14:textId="77777777" w:rsidR="00B269D0" w:rsidRDefault="00B269D0" w:rsidP="008365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EFC2B2" w14:textId="77777777" w:rsidR="00B04268" w:rsidRDefault="00B04268" w:rsidP="008365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0CF15E" w14:textId="77777777" w:rsidR="00B04268" w:rsidRDefault="00B04268" w:rsidP="008365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9480A9" w14:textId="77777777" w:rsidR="00B04268" w:rsidRDefault="00B04268" w:rsidP="008365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318A13E" w14:textId="77777777" w:rsidR="00B04268" w:rsidRPr="008365DC" w:rsidRDefault="00B04268" w:rsidP="008365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FE5E12" w14:textId="77777777" w:rsidR="008365DC" w:rsidRDefault="008365DC" w:rsidP="008365D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53133FA" w14:textId="28B944BF" w:rsidR="008365DC" w:rsidRPr="008365DC" w:rsidRDefault="008365DC" w:rsidP="008365D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365D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</w:p>
    <w:p w14:paraId="39D3B65F" w14:textId="00BBFC66" w:rsidR="00B269D0" w:rsidRPr="008365DC" w:rsidRDefault="0022644C" w:rsidP="008365D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24.10.2024р.  №3077</w:t>
      </w:r>
      <w:r w:rsidR="008365DC" w:rsidRPr="008365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365DC" w:rsidRPr="008365DC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tbl>
      <w:tblPr>
        <w:tblW w:w="9214" w:type="dxa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280"/>
        <w:gridCol w:w="2431"/>
      </w:tblGrid>
      <w:tr w:rsidR="00B269D0" w14:paraId="6D9F065A" w14:textId="77777777" w:rsidTr="0022644C">
        <w:trPr>
          <w:trHeight w:val="384"/>
        </w:trPr>
        <w:tc>
          <w:tcPr>
            <w:tcW w:w="5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56809" w14:textId="77777777" w:rsidR="00B269D0" w:rsidRDefault="00B269D0" w:rsidP="009D74B4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14E3" w14:textId="668F2A4D" w:rsidR="00B269D0" w:rsidRDefault="00B269D0" w:rsidP="008365D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269D0" w14:paraId="582A7F7D" w14:textId="77777777" w:rsidTr="0022644C">
        <w:trPr>
          <w:trHeight w:val="696"/>
        </w:trPr>
        <w:tc>
          <w:tcPr>
            <w:tcW w:w="5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94FA2" w14:textId="77777777" w:rsidR="00B269D0" w:rsidRDefault="00B269D0" w:rsidP="009D74B4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0D364" w14:textId="0256FCC9" w:rsidR="00B269D0" w:rsidRPr="008365DC" w:rsidRDefault="00B269D0" w:rsidP="00836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365D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Структура </w:t>
            </w:r>
            <w:r w:rsidR="008365DC" w:rsidRPr="008365DC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</w:t>
            </w:r>
            <w:r w:rsidRPr="008365D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чисельн</w:t>
            </w:r>
            <w:r w:rsidR="008365DC" w:rsidRPr="008365DC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ість</w:t>
            </w:r>
          </w:p>
        </w:tc>
      </w:tr>
      <w:tr w:rsidR="00B269D0" w14:paraId="5579FBBA" w14:textId="77777777" w:rsidTr="0022644C">
        <w:trPr>
          <w:trHeight w:val="728"/>
        </w:trPr>
        <w:tc>
          <w:tcPr>
            <w:tcW w:w="5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C848" w14:textId="77777777" w:rsidR="00B269D0" w:rsidRDefault="00B269D0" w:rsidP="009D74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5F18" w14:textId="476A44D7" w:rsidR="008365DC" w:rsidRPr="008365DC" w:rsidRDefault="00B269D0" w:rsidP="00836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365D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Відділу соціального захисту населення</w:t>
            </w:r>
          </w:p>
          <w:p w14:paraId="307C35D4" w14:textId="37449062" w:rsidR="008365DC" w:rsidRPr="008365DC" w:rsidRDefault="00B269D0" w:rsidP="00836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365D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Авангардівської</w:t>
            </w:r>
            <w:r w:rsidR="008365DC" w:rsidRPr="008365D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селищної ради"</w:t>
            </w:r>
          </w:p>
          <w:p w14:paraId="02356540" w14:textId="33C9860F" w:rsidR="00B269D0" w:rsidRPr="008365DC" w:rsidRDefault="008365DC" w:rsidP="00836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 2024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рік</w:t>
            </w:r>
          </w:p>
        </w:tc>
      </w:tr>
      <w:tr w:rsidR="00B269D0" w14:paraId="03F8EE89" w14:textId="77777777" w:rsidTr="0022644C">
        <w:trPr>
          <w:trHeight w:val="272"/>
        </w:trPr>
        <w:tc>
          <w:tcPr>
            <w:tcW w:w="5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AE03F" w14:textId="77777777" w:rsidR="00B269D0" w:rsidRDefault="00B269D0" w:rsidP="009D74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7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9AEA" w14:textId="07C4A06B" w:rsidR="00B269D0" w:rsidRDefault="00B269D0" w:rsidP="008365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269D0" w14:paraId="7E9485E2" w14:textId="77777777" w:rsidTr="0022644C">
        <w:trPr>
          <w:trHeight w:val="87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A40E" w14:textId="77777777" w:rsidR="00B269D0" w:rsidRDefault="00B269D0" w:rsidP="009D74B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A652" w14:textId="77777777" w:rsidR="00B269D0" w:rsidRDefault="00B269D0" w:rsidP="009D74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Найменування посади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6DBC" w14:textId="77777777" w:rsidR="00B269D0" w:rsidRDefault="00B269D0" w:rsidP="009D74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Кількість штатних одиниць</w:t>
            </w:r>
          </w:p>
        </w:tc>
      </w:tr>
      <w:tr w:rsidR="00B269D0" w14:paraId="0646C85C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11EF9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E0834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D933F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078B4EFD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1172F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354E5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CA178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13B6917F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203F3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E320D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32670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005EA846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883CF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591C4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5BF73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1FC79FBF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A44E5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D943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 з питань ветеранської політики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8BFED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0EB4B22C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82227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FBC0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Провідний спеціаліст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0B677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7023F2EC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40BA4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5B43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Інспектор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CD429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78091536" w14:textId="77777777" w:rsidTr="0022644C">
        <w:trPr>
          <w:trHeight w:val="3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B3342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A37A1" w14:textId="77777777" w:rsidR="00B269D0" w:rsidRDefault="00B269D0" w:rsidP="009D74B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Інспектор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4EE5D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269D0" w14:paraId="2195DBCC" w14:textId="77777777" w:rsidTr="0022644C">
        <w:trPr>
          <w:trHeight w:val="34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FB800" w14:textId="77777777" w:rsidR="00B269D0" w:rsidRDefault="00B269D0" w:rsidP="009D74B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9A76" w14:textId="77777777" w:rsidR="00B269D0" w:rsidRDefault="00B269D0" w:rsidP="009D74B4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7F21" w14:textId="77777777" w:rsidR="00B269D0" w:rsidRDefault="00B269D0" w:rsidP="009D74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8</w:t>
            </w:r>
          </w:p>
        </w:tc>
      </w:tr>
    </w:tbl>
    <w:p w14:paraId="1660D71B" w14:textId="77777777" w:rsidR="00B269D0" w:rsidRDefault="00B269D0" w:rsidP="00B269D0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E6A2397" w14:textId="605D3109" w:rsidR="00B269D0" w:rsidRPr="005B39AB" w:rsidRDefault="008365DC" w:rsidP="005B39A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B269D0" w:rsidRPr="005B39AB" w:rsidSect="0022644C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            Секретар селищної ради                                     Валентина ЩУР</w:t>
      </w:r>
      <w:bookmarkStart w:id="0" w:name="_GoBack"/>
      <w:bookmarkEnd w:id="0"/>
    </w:p>
    <w:p w14:paraId="38E4185F" w14:textId="3E18F71B" w:rsidR="009D6385" w:rsidRPr="0022644C" w:rsidRDefault="009D6385" w:rsidP="005B39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RANGE!A1:Q20"/>
      <w:bookmarkEnd w:id="1"/>
    </w:p>
    <w:sectPr w:rsidR="009D6385" w:rsidRPr="0022644C" w:rsidSect="007C5D3C">
      <w:pgSz w:w="16838" w:h="11906" w:orient="landscape"/>
      <w:pgMar w:top="568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48FA" w14:textId="77777777" w:rsidR="00083C29" w:rsidRDefault="00083C29" w:rsidP="008B0303">
      <w:pPr>
        <w:spacing w:after="0" w:line="240" w:lineRule="auto"/>
      </w:pPr>
      <w:r>
        <w:separator/>
      </w:r>
    </w:p>
  </w:endnote>
  <w:endnote w:type="continuationSeparator" w:id="0">
    <w:p w14:paraId="128C0389" w14:textId="77777777" w:rsidR="00083C29" w:rsidRDefault="00083C29" w:rsidP="008B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BE7F" w14:textId="77777777" w:rsidR="00083C29" w:rsidRDefault="00083C29" w:rsidP="008B0303">
      <w:pPr>
        <w:spacing w:after="0" w:line="240" w:lineRule="auto"/>
      </w:pPr>
      <w:r>
        <w:separator/>
      </w:r>
    </w:p>
  </w:footnote>
  <w:footnote w:type="continuationSeparator" w:id="0">
    <w:p w14:paraId="559AE5C8" w14:textId="77777777" w:rsidR="00083C29" w:rsidRDefault="00083C29" w:rsidP="008B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3C29"/>
    <w:rsid w:val="000D2DE6"/>
    <w:rsid w:val="000E1EEA"/>
    <w:rsid w:val="000F4645"/>
    <w:rsid w:val="00121938"/>
    <w:rsid w:val="001350A8"/>
    <w:rsid w:val="00157A35"/>
    <w:rsid w:val="001717FC"/>
    <w:rsid w:val="002049FD"/>
    <w:rsid w:val="002055F1"/>
    <w:rsid w:val="00216CCF"/>
    <w:rsid w:val="0022644C"/>
    <w:rsid w:val="0025335C"/>
    <w:rsid w:val="002D70CC"/>
    <w:rsid w:val="0030649F"/>
    <w:rsid w:val="0038241F"/>
    <w:rsid w:val="00383EB5"/>
    <w:rsid w:val="003A4855"/>
    <w:rsid w:val="0041368B"/>
    <w:rsid w:val="00427746"/>
    <w:rsid w:val="00432543"/>
    <w:rsid w:val="004737E7"/>
    <w:rsid w:val="004766AF"/>
    <w:rsid w:val="004E22EE"/>
    <w:rsid w:val="004E2FC2"/>
    <w:rsid w:val="005213F3"/>
    <w:rsid w:val="005236CF"/>
    <w:rsid w:val="0052691A"/>
    <w:rsid w:val="005423B8"/>
    <w:rsid w:val="005675C1"/>
    <w:rsid w:val="005B39AB"/>
    <w:rsid w:val="005B400E"/>
    <w:rsid w:val="00613221"/>
    <w:rsid w:val="00622DFD"/>
    <w:rsid w:val="00645355"/>
    <w:rsid w:val="00671657"/>
    <w:rsid w:val="006A379B"/>
    <w:rsid w:val="006A3B0A"/>
    <w:rsid w:val="00747A05"/>
    <w:rsid w:val="0075029A"/>
    <w:rsid w:val="00773D94"/>
    <w:rsid w:val="007901C0"/>
    <w:rsid w:val="007B3932"/>
    <w:rsid w:val="007C5D3C"/>
    <w:rsid w:val="00803D65"/>
    <w:rsid w:val="008365DC"/>
    <w:rsid w:val="008535E3"/>
    <w:rsid w:val="00861B73"/>
    <w:rsid w:val="008805FD"/>
    <w:rsid w:val="008A6C1B"/>
    <w:rsid w:val="008B0303"/>
    <w:rsid w:val="008C6A19"/>
    <w:rsid w:val="008E7F8D"/>
    <w:rsid w:val="00916EFE"/>
    <w:rsid w:val="00945620"/>
    <w:rsid w:val="00947306"/>
    <w:rsid w:val="0096710B"/>
    <w:rsid w:val="009D6385"/>
    <w:rsid w:val="009F5688"/>
    <w:rsid w:val="00A61B90"/>
    <w:rsid w:val="00A623B5"/>
    <w:rsid w:val="00AB2E51"/>
    <w:rsid w:val="00AE36AC"/>
    <w:rsid w:val="00AF2E67"/>
    <w:rsid w:val="00B04268"/>
    <w:rsid w:val="00B269D0"/>
    <w:rsid w:val="00B31298"/>
    <w:rsid w:val="00B32B46"/>
    <w:rsid w:val="00B9397A"/>
    <w:rsid w:val="00BA0D49"/>
    <w:rsid w:val="00BD1FEB"/>
    <w:rsid w:val="00BF2EDC"/>
    <w:rsid w:val="00C60BC8"/>
    <w:rsid w:val="00D012E1"/>
    <w:rsid w:val="00D2045E"/>
    <w:rsid w:val="00D2069D"/>
    <w:rsid w:val="00D503D6"/>
    <w:rsid w:val="00D70214"/>
    <w:rsid w:val="00D978EE"/>
    <w:rsid w:val="00DA2597"/>
    <w:rsid w:val="00DE0200"/>
    <w:rsid w:val="00DF7439"/>
    <w:rsid w:val="00E00F3C"/>
    <w:rsid w:val="00E227C3"/>
    <w:rsid w:val="00E318E3"/>
    <w:rsid w:val="00E60934"/>
    <w:rsid w:val="00EA1F66"/>
    <w:rsid w:val="00EB6243"/>
    <w:rsid w:val="00F95FCE"/>
    <w:rsid w:val="00FC073C"/>
    <w:rsid w:val="00FD2B2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95F8B"/>
  <w15:docId w15:val="{7B686259-6D53-46F2-BB12-F8358035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3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303"/>
  </w:style>
  <w:style w:type="paragraph" w:styleId="a9">
    <w:name w:val="footer"/>
    <w:basedOn w:val="a"/>
    <w:link w:val="aa"/>
    <w:uiPriority w:val="99"/>
    <w:unhideWhenUsed/>
    <w:rsid w:val="008B03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A132-270C-4819-8FA9-C3E38C84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5</cp:revision>
  <cp:lastPrinted>2024-10-25T10:03:00Z</cp:lastPrinted>
  <dcterms:created xsi:type="dcterms:W3CDTF">2024-10-17T08:36:00Z</dcterms:created>
  <dcterms:modified xsi:type="dcterms:W3CDTF">2024-10-25T11:50:00Z</dcterms:modified>
</cp:coreProperties>
</file>