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Pr="00A27C44" w:rsidRDefault="00CB7378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7378" w:rsidRPr="00A27C44" w:rsidRDefault="00CB7378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7C44" w:rsidRPr="00A27C44" w:rsidRDefault="00A27C44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A27C44" w:rsidRDefault="00B94A0F" w:rsidP="00B527F3">
      <w:pPr>
        <w:tabs>
          <w:tab w:val="left" w:pos="4536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A27C44" w:rsidRDefault="00E302F2" w:rsidP="00A27C44">
      <w:pPr>
        <w:spacing w:after="0"/>
        <w:ind w:right="396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27C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</w:t>
      </w:r>
      <w:r w:rsidR="00CE2CED" w:rsidRPr="00A27C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B94A0F" w:rsidRPr="00A27C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затвердження Програми «Комфортна громада» Аванг</w:t>
      </w:r>
      <w:r w:rsidR="009C1EBB" w:rsidRPr="00A27C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ардівської селищної ради на 2025</w:t>
      </w:r>
      <w:r w:rsidR="00822A23" w:rsidRPr="00A27C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рік</w:t>
      </w:r>
      <w:r w:rsidRPr="00A27C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</w:t>
      </w:r>
    </w:p>
    <w:p w:rsidR="00B94A0F" w:rsidRPr="00A27C44" w:rsidRDefault="00B94A0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66DF" w:rsidRPr="00A27C44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A27C44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</w:t>
      </w:r>
      <w:r w:rsidRPr="00A27C44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A27C44">
        <w:rPr>
          <w:lang w:val="uk-UA"/>
        </w:rPr>
        <w:t xml:space="preserve"> </w:t>
      </w:r>
      <w:r w:rsidR="00CE2CED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A27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A27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 w:rsidRPr="00A27C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A27C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Pr="00A27C44" w:rsidRDefault="009C1EBB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27C44">
        <w:rPr>
          <w:rFonts w:ascii="Times New Roman" w:eastAsia="Calibri" w:hAnsi="Times New Roman"/>
          <w:sz w:val="28"/>
          <w:szCs w:val="28"/>
          <w:lang w:val="uk-UA"/>
        </w:rPr>
        <w:t>Затвердити Програму</w:t>
      </w:r>
      <w:r w:rsidR="00B94A0F" w:rsidRPr="00A27C44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A27C44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 w:rsidRPr="00A27C44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2024</w:t>
      </w:r>
      <w:r w:rsidRPr="00A27C44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 w:rsidRPr="00A27C44">
        <w:rPr>
          <w:rFonts w:ascii="Times New Roman" w:eastAsia="Calibri" w:hAnsi="Times New Roman"/>
          <w:sz w:val="28"/>
          <w:szCs w:val="28"/>
          <w:lang w:val="uk-UA"/>
        </w:rPr>
        <w:t xml:space="preserve"> (додається)</w:t>
      </w:r>
    </w:p>
    <w:p w:rsidR="00EC79EC" w:rsidRPr="00A27C44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1F20" w:rsidRPr="00A27C44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27C44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B23437" w:rsidRPr="00A27C44" w:rsidRDefault="00B23437" w:rsidP="00B94A0F">
      <w:pPr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</w:pPr>
    </w:p>
    <w:p w:rsidR="00B94A0F" w:rsidRPr="00A27C44" w:rsidRDefault="00A27C44" w:rsidP="00B94A0F">
      <w:pPr>
        <w:rPr>
          <w:rFonts w:ascii="Times New Roman" w:eastAsia="Calibri" w:hAnsi="Times New Roman" w:cs="Times New Roman"/>
          <w:b/>
          <w:bCs/>
          <w:spacing w:val="-12"/>
          <w:sz w:val="28"/>
          <w:szCs w:val="28"/>
          <w:lang w:val="uk-UA"/>
        </w:rPr>
      </w:pPr>
      <w:r w:rsidRPr="00A27C44">
        <w:rPr>
          <w:rFonts w:ascii="Times New Roman" w:eastAsia="Calibri" w:hAnsi="Times New Roman" w:cs="Times New Roman"/>
          <w:b/>
          <w:bCs/>
          <w:spacing w:val="-12"/>
          <w:sz w:val="28"/>
          <w:szCs w:val="28"/>
          <w:lang w:val="uk-UA"/>
        </w:rPr>
        <w:t xml:space="preserve">Селищний голова </w:t>
      </w:r>
      <w:r w:rsidRPr="00A27C44">
        <w:rPr>
          <w:rFonts w:ascii="Times New Roman" w:eastAsia="Calibri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A27C44">
        <w:rPr>
          <w:rFonts w:ascii="Times New Roman" w:eastAsia="Calibri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A27C44">
        <w:rPr>
          <w:rFonts w:ascii="Times New Roman" w:eastAsia="Calibri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A27C44">
        <w:rPr>
          <w:rFonts w:ascii="Times New Roman" w:eastAsia="Calibri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A27C44">
        <w:rPr>
          <w:rFonts w:ascii="Times New Roman" w:eastAsia="Calibri" w:hAnsi="Times New Roman" w:cs="Times New Roman"/>
          <w:b/>
          <w:bCs/>
          <w:spacing w:val="-12"/>
          <w:sz w:val="28"/>
          <w:szCs w:val="28"/>
          <w:lang w:val="uk-UA"/>
        </w:rPr>
        <w:tab/>
        <w:t xml:space="preserve">        </w:t>
      </w:r>
      <w:r w:rsidR="00B94A0F" w:rsidRPr="00A27C44">
        <w:rPr>
          <w:rFonts w:ascii="Times New Roman" w:eastAsia="Calibri" w:hAnsi="Times New Roman" w:cs="Times New Roman"/>
          <w:b/>
          <w:bCs/>
          <w:spacing w:val="-12"/>
          <w:sz w:val="28"/>
          <w:szCs w:val="28"/>
          <w:lang w:val="uk-UA"/>
        </w:rPr>
        <w:t xml:space="preserve"> Сергій ХРУСТОВСЬКИЙ</w:t>
      </w:r>
    </w:p>
    <w:p w:rsidR="00EC79EC" w:rsidRPr="00A27C44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94A0F" w:rsidRPr="00A27C44" w:rsidRDefault="00246E4C" w:rsidP="00CE2CE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27C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E2395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3283</w:t>
      </w:r>
      <w:bookmarkStart w:id="0" w:name="_GoBack"/>
      <w:bookmarkEnd w:id="0"/>
      <w:r w:rsidR="000E6006" w:rsidRPr="00A27C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-</w:t>
      </w:r>
      <w:r w:rsidR="000E6006" w:rsidRPr="00A27C4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VIII</w:t>
      </w:r>
    </w:p>
    <w:p w:rsidR="00B94A0F" w:rsidRPr="00A27C44" w:rsidRDefault="008968A1" w:rsidP="00CE2CE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27C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482692" w:rsidRPr="00A27C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20.12.</w:t>
      </w:r>
      <w:r w:rsidR="00E302F2" w:rsidRPr="00A27C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2024</w:t>
      </w:r>
    </w:p>
    <w:p w:rsidR="002612EA" w:rsidRPr="00A27C44" w:rsidRDefault="002612E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7A2F13" w:rsidRPr="00A27C44" w:rsidRDefault="007A2F13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B226CC" w:rsidRPr="00A27C44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A27C44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A27C44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«Комфортна громада» Авангардівської селищної ради на</w:t>
      </w: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A27C44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A27C44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A27C44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A27C44" w:rsidRPr="00A27C44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A27C44" w:rsidRPr="00A27C44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Бюджетний кодекс України.</w:t>
            </w:r>
          </w:p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A27C44" w:rsidRPr="00A27C44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A27C44" w:rsidRPr="00A27C44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A27C44" w:rsidRPr="00A27C44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A27C44" w:rsidRPr="00A27C44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A27C44" w:rsidRPr="00A27C44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A27C44" w:rsidRPr="00A27C44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A27C44" w:rsidRPr="00A27C44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A27C44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536 000</w:t>
            </w:r>
            <w:r w:rsidR="002612EA"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КФК 0116030- </w:t>
            </w:r>
            <w:r w:rsidR="009C1EBB"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536 000</w:t>
            </w:r>
            <w:r w:rsidR="002612EA"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A27C44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C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A27C44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5344B" w:rsidRPr="00A27C44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A27C44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A27C44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469" w:rsidRPr="00A27C44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469" w:rsidRPr="00A27C44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A27C44" w:rsidRDefault="0025344B" w:rsidP="00A27C4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A27C44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II. Проблеми, на розв’язання яких спрямована програма</w:t>
      </w:r>
    </w:p>
    <w:p w:rsidR="00B7555F" w:rsidRPr="00A27C44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A27C44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A27C44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A27C44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A27C44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A27C44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A27C44" w:rsidRDefault="0025344B" w:rsidP="00A27C4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A27C44" w:rsidRPr="00A27C44" w:rsidRDefault="00A27C44" w:rsidP="00A27C4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A27C44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A27C44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A27C44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54279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</w:t>
      </w:r>
      <w:r w:rsidR="009C1EBB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536 000</w:t>
      </w:r>
      <w:r w:rsidR="00215469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Pr="00A27C44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215469" w:rsidRPr="00A27C44" w:rsidRDefault="00215469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A27C44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A27C44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A27C44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насаджень);</w:t>
      </w:r>
    </w:p>
    <w:p w:rsidR="009F2396" w:rsidRPr="00A27C44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предметів, матеріалів, обладнання та інвентарю;</w:t>
      </w:r>
      <w:r w:rsidR="009F2396"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57DC2" w:rsidRPr="00A27C44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B47D60" w:rsidRPr="00A27C44" w:rsidRDefault="00B47D60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32DC" w:rsidRPr="00A27C44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A27C44" w:rsidRPr="00A27C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2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C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Ресурсне забезпечення програми</w:t>
      </w:r>
    </w:p>
    <w:p w:rsidR="001032DC" w:rsidRPr="00A27C44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25344B" w:rsidRPr="00A27C44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A27C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A27C44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A27C44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Координацію за ходом виконання Програми здійснює Виконавчий комітет Авангардівської селищної ради. </w:t>
      </w:r>
    </w:p>
    <w:p w:rsidR="001032DC" w:rsidRPr="00A27C44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spellEnd"/>
      <w:r w:rsidRPr="00A2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http://avangard.odessa.gov.ua/ .</w:t>
      </w:r>
    </w:p>
    <w:p w:rsidR="001032DC" w:rsidRPr="00A27C44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A27C44" w:rsidRDefault="008F53A4" w:rsidP="00A2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A27C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 w:rsidRPr="00A27C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Pr="00A27C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9C1EBB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9C1EBB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9C1EBB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F75C2D" w:rsidRPr="00721A93" w:rsidTr="005C42E3">
        <w:trPr>
          <w:trHeight w:val="10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536 000,00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536 000,00</w:t>
            </w:r>
            <w:r w:rsidR="00F75C2D"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Pr="00721A93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A27C44" w:rsidP="00A27C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721A93"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:rsidR="00721A93" w:rsidRPr="00721A93" w:rsidRDefault="00721A93" w:rsidP="00721A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1032DC" w:rsidRPr="00214A5F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5088F"/>
    <w:rsid w:val="000A5DA2"/>
    <w:rsid w:val="000D614A"/>
    <w:rsid w:val="000E2984"/>
    <w:rsid w:val="000E6006"/>
    <w:rsid w:val="001032DC"/>
    <w:rsid w:val="001277B6"/>
    <w:rsid w:val="001C0B9E"/>
    <w:rsid w:val="001C2CD1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2080B"/>
    <w:rsid w:val="003235E9"/>
    <w:rsid w:val="003333ED"/>
    <w:rsid w:val="00344D99"/>
    <w:rsid w:val="00357B98"/>
    <w:rsid w:val="003708BC"/>
    <w:rsid w:val="003735E4"/>
    <w:rsid w:val="003D436A"/>
    <w:rsid w:val="003E23AF"/>
    <w:rsid w:val="0045431B"/>
    <w:rsid w:val="004753B4"/>
    <w:rsid w:val="0048063D"/>
    <w:rsid w:val="0048230E"/>
    <w:rsid w:val="00482692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649EF"/>
    <w:rsid w:val="007A1F20"/>
    <w:rsid w:val="007A2F13"/>
    <w:rsid w:val="007C505C"/>
    <w:rsid w:val="007E02C5"/>
    <w:rsid w:val="007F5EBB"/>
    <w:rsid w:val="00822A23"/>
    <w:rsid w:val="0082542C"/>
    <w:rsid w:val="008443A9"/>
    <w:rsid w:val="00844407"/>
    <w:rsid w:val="00854279"/>
    <w:rsid w:val="008968A1"/>
    <w:rsid w:val="008D70FA"/>
    <w:rsid w:val="008F53A4"/>
    <w:rsid w:val="0093480A"/>
    <w:rsid w:val="00942931"/>
    <w:rsid w:val="00973186"/>
    <w:rsid w:val="009737FB"/>
    <w:rsid w:val="009C1EBB"/>
    <w:rsid w:val="009F2396"/>
    <w:rsid w:val="00A27C44"/>
    <w:rsid w:val="00A31E39"/>
    <w:rsid w:val="00A55080"/>
    <w:rsid w:val="00A73F62"/>
    <w:rsid w:val="00A8535A"/>
    <w:rsid w:val="00B226CC"/>
    <w:rsid w:val="00B23437"/>
    <w:rsid w:val="00B343AE"/>
    <w:rsid w:val="00B47D60"/>
    <w:rsid w:val="00B527F3"/>
    <w:rsid w:val="00B72BD9"/>
    <w:rsid w:val="00B7555F"/>
    <w:rsid w:val="00B83AEB"/>
    <w:rsid w:val="00B85E3E"/>
    <w:rsid w:val="00B94A0F"/>
    <w:rsid w:val="00BB710F"/>
    <w:rsid w:val="00BC1F5A"/>
    <w:rsid w:val="00C3585B"/>
    <w:rsid w:val="00C43A8D"/>
    <w:rsid w:val="00CB7378"/>
    <w:rsid w:val="00CC66DF"/>
    <w:rsid w:val="00CE2CED"/>
    <w:rsid w:val="00CF054C"/>
    <w:rsid w:val="00D20CDD"/>
    <w:rsid w:val="00D74D5E"/>
    <w:rsid w:val="00DD03F0"/>
    <w:rsid w:val="00E04A19"/>
    <w:rsid w:val="00E1733B"/>
    <w:rsid w:val="00E23955"/>
    <w:rsid w:val="00E302F2"/>
    <w:rsid w:val="00EA2C0B"/>
    <w:rsid w:val="00EC79EC"/>
    <w:rsid w:val="00EE6F5C"/>
    <w:rsid w:val="00F4409E"/>
    <w:rsid w:val="00F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4B7A-9761-45E8-B3A7-89BE948E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2024-11-28T12:26:00Z</cp:lastPrinted>
  <dcterms:created xsi:type="dcterms:W3CDTF">2024-12-17T07:53:00Z</dcterms:created>
  <dcterms:modified xsi:type="dcterms:W3CDTF">2024-12-21T11:52:00Z</dcterms:modified>
</cp:coreProperties>
</file>