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485775" cy="720408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4"/>
          <w:szCs w:val="24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widowControl w:val="1"/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8"/>
          <w:szCs w:val="28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1"/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32"/>
          <w:szCs w:val="32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160.0" w:type="dxa"/>
        <w:jc w:val="left"/>
        <w:tblInd w:w="-162.0" w:type="dxa"/>
        <w:tblLayout w:type="fixed"/>
        <w:tblLook w:val="0400"/>
      </w:tblPr>
      <w:tblGrid>
        <w:gridCol w:w="5160"/>
        <w:tblGridChange w:id="0">
          <w:tblGrid>
            <w:gridCol w:w="5160"/>
          </w:tblGrid>
        </w:tblGridChange>
      </w:tblGrid>
      <w:tr>
        <w:trPr>
          <w:cantSplit w:val="1"/>
          <w:trHeight w:val="1215" w:hRule="atLeast"/>
          <w:tblHeader w:val="1"/>
        </w:trPr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tabs>
                <w:tab w:val="left" w:leader="none" w:pos="296"/>
              </w:tabs>
              <w:spacing w:after="0" w:line="240" w:lineRule="auto"/>
              <w:ind w:left="141.7322834645668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переведення садового будинку у жилий будинок гр. Рудик Т.В. на території Авангардівської ТГ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заяву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Рудик Т.В.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переведення власного садового будинку у жилий будинок, за адресою: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Одеська область, Одеський район, Авангардівська селищна територіальна громада, ГО «Авангард-2»,  буд. № 63,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року № 881),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Перевести садовий будинок, що належить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Рудик Тетяні Володимирівні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розташований за адресою: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Одеська область, Одеський район, Авангардівська селищна територіальна громада, ГО «Авангард-2»,                 буд. № 63,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загальною площею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104,5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основною (житловою) площею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50,8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у жилий будинок.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внести до Реєстру будівельної діяльності порталу Єдиної державної електронної системи </w:t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400</w:t>
      </w:r>
    </w:p>
    <w:p w:rsidR="00000000" w:rsidDel="00000000" w:rsidP="00000000" w:rsidRDefault="00000000" w:rsidRPr="00000000" w14:paraId="00000012">
      <w:pPr>
        <w:widowControl w:val="1"/>
        <w:shd w:fill="ffffff" w:val="clear"/>
        <w:ind w:right="-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сфері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будівництва  відповідні  відомості  (дані)  щодо  переведення  садового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будинку, який належить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Рудик Тетяні Володимирівні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вищевказаною адресою, у жилий будинок.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 Сергій ХРУСТОВСЬКИЙ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400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13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6.9291338582677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++Vhl2JY9FYN9s1PZrdYUQKAw==">CgMxLjAyCWguMzBqMHpsbDgAciExYzY3LVg3UmV3ckVUaHlReHdmXzNoYk9rZWJtZ1ZwSkQ=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