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482692" w:rsidP="00B527F3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B527F3" w:rsidRDefault="00B94A0F" w:rsidP="00B527F3">
      <w:pPr>
        <w:tabs>
          <w:tab w:val="left" w:pos="4536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Pr="00B527F3" w:rsidRDefault="00E302F2" w:rsidP="00B527F3">
      <w:pPr>
        <w:tabs>
          <w:tab w:val="left" w:pos="4536"/>
          <w:tab w:val="left" w:pos="4678"/>
        </w:tabs>
        <w:spacing w:after="0"/>
        <w:ind w:right="467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527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CE2CED" w:rsidRPr="00B527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94A0F" w:rsidRPr="00B527F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затвердження Програми «Комфортна громада» </w:t>
      </w:r>
      <w:r w:rsidR="00B94A0F" w:rsidRPr="00B527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Аванг</w:t>
      </w:r>
      <w:r w:rsidR="009C1EBB" w:rsidRPr="00B527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ардівської селищної ради на 2025</w:t>
      </w:r>
      <w:r w:rsidR="00822A23" w:rsidRPr="00B527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рік</w:t>
      </w:r>
      <w:r w:rsidRPr="00B527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</w:t>
      </w: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B94A0F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CE2CED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</w:t>
      </w:r>
      <w:r w:rsidRPr="00B94A0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B94A0F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CE2CED">
        <w:rPr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8968A1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968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CE2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CE2C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Default="009C1EBB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Затвердити Програму</w:t>
      </w:r>
      <w:r w:rsidR="00B94A0F" w:rsidRPr="007A1F20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7A1F20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2024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>
        <w:rPr>
          <w:rFonts w:ascii="Times New Roman" w:eastAsia="Calibri" w:hAnsi="Times New Roman"/>
          <w:sz w:val="28"/>
          <w:szCs w:val="28"/>
          <w:lang w:val="uk-UA"/>
        </w:rPr>
        <w:t xml:space="preserve"> (додається)</w:t>
      </w:r>
    </w:p>
    <w:p w:rsidR="00EC79EC" w:rsidRPr="007A1F20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A1F20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23437" w:rsidRDefault="00B23437" w:rsidP="00B94A0F">
      <w:pPr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</w:pPr>
    </w:p>
    <w:p w:rsidR="00B94A0F" w:rsidRPr="00482692" w:rsidRDefault="00B94A0F" w:rsidP="00B94A0F">
      <w:pPr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</w:pPr>
      <w:bookmarkStart w:id="0" w:name="_GoBack"/>
      <w:bookmarkEnd w:id="0"/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 xml:space="preserve">Селищний голова </w:t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ab/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ab/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ab/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ab/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ab/>
        <w:t xml:space="preserve">         </w:t>
      </w:r>
      <w:r w:rsidR="00B527F3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 xml:space="preserve">               </w:t>
      </w:r>
      <w:r w:rsidRPr="00482692">
        <w:rPr>
          <w:rFonts w:ascii="Times New Roman" w:eastAsia="Calibri" w:hAnsi="Times New Roman" w:cs="Times New Roman"/>
          <w:bCs/>
          <w:spacing w:val="-12"/>
          <w:sz w:val="28"/>
          <w:szCs w:val="28"/>
          <w:lang w:val="uk-UA"/>
        </w:rPr>
        <w:t xml:space="preserve"> Сергій ХРУСТОВСЬКИЙ</w:t>
      </w:r>
    </w:p>
    <w:p w:rsidR="00EC79EC" w:rsidRPr="00482692" w:rsidRDefault="00EC79EC" w:rsidP="00CE2CE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94A0F" w:rsidRPr="00482692" w:rsidRDefault="00246E4C" w:rsidP="00CE2CE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№ </w:t>
      </w:r>
      <w:r w:rsidR="008968A1"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_______</w:t>
      </w:r>
      <w:r w:rsidR="000E6006"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r w:rsidR="000E6006" w:rsidRPr="004826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</w:p>
    <w:p w:rsidR="00B94A0F" w:rsidRPr="00482692" w:rsidRDefault="008968A1" w:rsidP="00CE2CE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</w:t>
      </w:r>
      <w:r w:rsidR="00482692"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20.12.</w:t>
      </w:r>
      <w:r w:rsidR="00E302F2" w:rsidRPr="004826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2024</w:t>
      </w:r>
    </w:p>
    <w:p w:rsidR="002612EA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A2F13" w:rsidRDefault="007A2F13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226CC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2612E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2612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D74D5E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25344B" w:rsidRPr="00D74D5E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25344B" w:rsidRPr="00D74D5E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25344B" w:rsidRPr="00D74D5E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25344B" w:rsidRPr="009737F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D74D5E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4D5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94D95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536 000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КФК 0116030- </w:t>
            </w:r>
            <w:r w:rsidR="009C1E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536 000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94D95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D9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Pr="00D74D5E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D74D5E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D74D5E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25344B" w:rsidRPr="00D74D5E" w:rsidRDefault="0025344B" w:rsidP="00D74D5E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D74D5E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542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536 000</w:t>
      </w:r>
      <w:r w:rsidR="0021546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B226CC" w:rsidRDefault="00B226C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15469" w:rsidRPr="00D74D5E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D74D5E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F2396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612E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предметів, матеріалів, обладнання та інвентарю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  <w:r w:rsidR="009F2396" w:rsidRPr="009F239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257DC2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57DC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215469" w:rsidRDefault="00215469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B47D60" w:rsidRPr="007422EF" w:rsidRDefault="00B47D60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VI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Ресурсне забезпечення програми</w:t>
      </w:r>
    </w:p>
    <w:p w:rsidR="001032DC" w:rsidRPr="009F2396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D74D5E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D74D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:rsidR="001032DC" w:rsidRPr="001032DC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ради</w:t>
      </w:r>
      <w:proofErr w:type="spellEnd"/>
      <w:r w:rsidRPr="001032D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 http://avangard.odessa.gov.ua/ .</w:t>
      </w:r>
    </w:p>
    <w:p w:rsidR="001032DC" w:rsidRPr="00D74D5E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5344B" w:rsidRDefault="0025344B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D74D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8F53A4" w:rsidRPr="00D74D5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9C1EB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9C1EB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9C1EBB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9C1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9C1EB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C1EB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F75C2D" w:rsidRPr="00721A93" w:rsidTr="005C42E3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536 000,00</w:t>
            </w:r>
            <w:r w:rsidR="00F75C2D"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2154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5088F"/>
    <w:rsid w:val="000A5DA2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2080B"/>
    <w:rsid w:val="003235E9"/>
    <w:rsid w:val="003333ED"/>
    <w:rsid w:val="00344D99"/>
    <w:rsid w:val="00357B98"/>
    <w:rsid w:val="003708BC"/>
    <w:rsid w:val="003735E4"/>
    <w:rsid w:val="003D436A"/>
    <w:rsid w:val="003E23AF"/>
    <w:rsid w:val="0045431B"/>
    <w:rsid w:val="004753B4"/>
    <w:rsid w:val="0048063D"/>
    <w:rsid w:val="0048230E"/>
    <w:rsid w:val="00482692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22A23"/>
    <w:rsid w:val="0082542C"/>
    <w:rsid w:val="008443A9"/>
    <w:rsid w:val="00844407"/>
    <w:rsid w:val="00854279"/>
    <w:rsid w:val="008968A1"/>
    <w:rsid w:val="008D70FA"/>
    <w:rsid w:val="008F53A4"/>
    <w:rsid w:val="0093480A"/>
    <w:rsid w:val="00942931"/>
    <w:rsid w:val="00973186"/>
    <w:rsid w:val="009737FB"/>
    <w:rsid w:val="009C1EBB"/>
    <w:rsid w:val="009F2396"/>
    <w:rsid w:val="00A31E39"/>
    <w:rsid w:val="00A55080"/>
    <w:rsid w:val="00A73F62"/>
    <w:rsid w:val="00A8535A"/>
    <w:rsid w:val="00B226CC"/>
    <w:rsid w:val="00B23437"/>
    <w:rsid w:val="00B343AE"/>
    <w:rsid w:val="00B47D60"/>
    <w:rsid w:val="00B527F3"/>
    <w:rsid w:val="00B72BD9"/>
    <w:rsid w:val="00B7555F"/>
    <w:rsid w:val="00B83AEB"/>
    <w:rsid w:val="00B85E3E"/>
    <w:rsid w:val="00B94A0F"/>
    <w:rsid w:val="00BB710F"/>
    <w:rsid w:val="00BC1F5A"/>
    <w:rsid w:val="00C3585B"/>
    <w:rsid w:val="00C43A8D"/>
    <w:rsid w:val="00CB7378"/>
    <w:rsid w:val="00CC66DF"/>
    <w:rsid w:val="00CE2CED"/>
    <w:rsid w:val="00CF054C"/>
    <w:rsid w:val="00D20CDD"/>
    <w:rsid w:val="00D74D5E"/>
    <w:rsid w:val="00DD03F0"/>
    <w:rsid w:val="00E04A19"/>
    <w:rsid w:val="00E1733B"/>
    <w:rsid w:val="00E302F2"/>
    <w:rsid w:val="00EA2C0B"/>
    <w:rsid w:val="00EC79EC"/>
    <w:rsid w:val="00EE6F5C"/>
    <w:rsid w:val="00F4409E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D79D-A90C-4564-9A33-7DDD5E91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2024-11-28T12:26:00Z</cp:lastPrinted>
  <dcterms:created xsi:type="dcterms:W3CDTF">2021-11-25T11:01:00Z</dcterms:created>
  <dcterms:modified xsi:type="dcterms:W3CDTF">2024-12-10T04:54:00Z</dcterms:modified>
</cp:coreProperties>
</file>