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305840" w:rsidP="00F41E0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</w:t>
      </w:r>
    </w:p>
    <w:p w:rsidR="00B94A0F" w:rsidRDefault="00B94A0F" w:rsidP="00F41E0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226CC" w:rsidRDefault="00B226CC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B7378" w:rsidRDefault="00CB7378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B7378" w:rsidRDefault="00CB7378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Pr="000E2984" w:rsidRDefault="00305840" w:rsidP="00EC79EC">
      <w:pPr>
        <w:spacing w:after="0"/>
        <w:ind w:right="467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внесення змін до рішення від 20.12.2024 № 3283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VIII</w:t>
      </w:r>
      <w:r w:rsidRPr="003058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</w:t>
      </w:r>
      <w:r w:rsidR="00E302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</w:t>
      </w:r>
      <w:r w:rsidR="00CE2CE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B94A0F" w:rsidRPr="00B94A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затвердження Програми «Комфортна громада» </w:t>
      </w:r>
      <w:r w:rsidR="00B94A0F"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Аванг</w:t>
      </w:r>
      <w:r w:rsidR="009C1EBB">
        <w:rPr>
          <w:rFonts w:ascii="Times New Roman" w:eastAsia="Calibri" w:hAnsi="Times New Roman" w:cs="Times New Roman"/>
          <w:sz w:val="28"/>
          <w:szCs w:val="28"/>
          <w:lang w:val="uk-UA"/>
        </w:rPr>
        <w:t>ардівської селищної ради на 2025</w:t>
      </w:r>
      <w:r w:rsidR="00822A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</w:t>
      </w:r>
      <w:r w:rsidR="00EC79E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E302F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466DF" w:rsidRPr="00B94A0F" w:rsidRDefault="002466DF" w:rsidP="00B94A0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E2CED" w:rsidRPr="00CE2CED" w:rsidRDefault="00B94A0F" w:rsidP="00CE2CED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Керуючись</w:t>
      </w:r>
      <w:r w:rsidRPr="00B94A0F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п.22 ч.1 ст. 26, ч.1. ст. 59 Закону України «Про місцеве самоврядування в</w:t>
      </w:r>
      <w:r w:rsidR="002612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Україні», </w:t>
      </w: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ст. 91 Бюджетного кодексу України,  на підставі доповідних записок та клопотань</w:t>
      </w:r>
      <w:r w:rsidR="00CE2CED" w:rsidRPr="00CE2CED">
        <w:rPr>
          <w:lang w:val="uk-UA"/>
        </w:rPr>
        <w:t xml:space="preserve"> </w:t>
      </w:r>
      <w:r w:rsidR="00CE2CED" w:rsidRPr="00CE2CED">
        <w:rPr>
          <w:rFonts w:ascii="Times New Roman" w:eastAsia="Calibri" w:hAnsi="Times New Roman" w:cs="Times New Roman"/>
          <w:sz w:val="28"/>
          <w:szCs w:val="28"/>
          <w:lang w:val="uk-UA"/>
        </w:rPr>
        <w:t>частини 2 статті 14 Закону України «Про основи національного спротиву»,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частини першої пункту 1 Постанови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 w:rsidR="008968A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550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968A1" w:rsidRPr="008968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r w:rsidR="003058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рекомендацій постійної комісії </w:t>
      </w:r>
      <w:r w:rsidR="008968A1" w:rsidRPr="008968A1">
        <w:rPr>
          <w:rFonts w:ascii="Times New Roman" w:eastAsia="Calibri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CE2CED" w:rsidRPr="00CE2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E6006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0E60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</w:t>
      </w:r>
      <w:r w:rsidR="00CE2CED" w:rsidRPr="00CE2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E60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</w:t>
      </w:r>
      <w:r w:rsidR="00CE2CED" w:rsidRPr="00CE2CED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B94A0F" w:rsidRDefault="00305840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зміни до Програми</w:t>
      </w:r>
      <w:r w:rsidR="00B94A0F" w:rsidRPr="007A1F20">
        <w:rPr>
          <w:rFonts w:ascii="Times New Roman" w:eastAsia="Calibri" w:hAnsi="Times New Roman"/>
          <w:sz w:val="28"/>
          <w:szCs w:val="28"/>
          <w:lang w:val="uk-UA"/>
        </w:rPr>
        <w:t xml:space="preserve"> «Комфортна громада» Аванг</w:t>
      </w:r>
      <w:r w:rsidR="002612EA" w:rsidRPr="007A1F20">
        <w:rPr>
          <w:rFonts w:ascii="Times New Roman" w:eastAsia="Calibri" w:hAnsi="Times New Roman"/>
          <w:sz w:val="28"/>
          <w:szCs w:val="28"/>
          <w:lang w:val="uk-UA"/>
        </w:rPr>
        <w:t>ардів</w:t>
      </w:r>
      <w:r w:rsidR="001D669A">
        <w:rPr>
          <w:rFonts w:ascii="Times New Roman" w:eastAsia="Calibri" w:hAnsi="Times New Roman"/>
          <w:sz w:val="28"/>
          <w:szCs w:val="28"/>
          <w:lang w:val="uk-UA"/>
        </w:rPr>
        <w:t>ської селищної ради на 2025</w:t>
      </w:r>
      <w:r w:rsidR="009C1EBB">
        <w:rPr>
          <w:rFonts w:ascii="Times New Roman" w:eastAsia="Calibri" w:hAnsi="Times New Roman"/>
          <w:sz w:val="28"/>
          <w:szCs w:val="28"/>
          <w:lang w:val="uk-UA"/>
        </w:rPr>
        <w:t xml:space="preserve"> рік,</w:t>
      </w:r>
      <w:r w:rsidR="0021546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та викласти її в новій редакції, </w:t>
      </w:r>
      <w:r w:rsidR="00215469">
        <w:rPr>
          <w:rFonts w:ascii="Times New Roman" w:eastAsia="Calibri" w:hAnsi="Times New Roman"/>
          <w:sz w:val="28"/>
          <w:szCs w:val="28"/>
          <w:lang w:val="uk-UA"/>
        </w:rPr>
        <w:t>(додається)</w:t>
      </w:r>
    </w:p>
    <w:p w:rsidR="00EC79EC" w:rsidRPr="007A1F20" w:rsidRDefault="00EC79EC" w:rsidP="00EC79EC">
      <w:pPr>
        <w:pStyle w:val="a6"/>
        <w:ind w:left="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7A1F20" w:rsidRDefault="007A1F20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1F20">
        <w:rPr>
          <w:rFonts w:ascii="Times New Roman" w:eastAsia="Calibri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B94A0F" w:rsidRPr="007A1F20" w:rsidRDefault="00B94A0F" w:rsidP="00B94A0F">
      <w:pPr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</w:pP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 xml:space="preserve">Селищний голова </w:t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  <w:t xml:space="preserve">          Сергій ХРУСТОВСЬКИЙ</w:t>
      </w:r>
    </w:p>
    <w:p w:rsidR="00EC79EC" w:rsidRDefault="00EC79EC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94A0F" w:rsidRPr="002612EA" w:rsidRDefault="00246E4C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C1F5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№ </w:t>
      </w:r>
      <w:r w:rsidR="008968A1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_______</w:t>
      </w:r>
      <w:r w:rsidR="000E60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="000E60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</w:p>
    <w:p w:rsidR="00B94A0F" w:rsidRPr="00BC1F5A" w:rsidRDefault="008968A1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_________</w:t>
      </w:r>
      <w:r w:rsidR="001D669A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2025</w:t>
      </w:r>
    </w:p>
    <w:p w:rsidR="002612EA" w:rsidRDefault="002612EA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7A2F13" w:rsidRDefault="007A2F13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B226CC" w:rsidRDefault="00B226CC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ПРОГРАМА</w:t>
      </w: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«Комфортна громада» Авангардівської селищної ради 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202</w:t>
      </w:r>
      <w:r w:rsidR="009C1E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I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.ПАСПОРТ</w:t>
      </w:r>
    </w:p>
    <w:p w:rsidR="0025344B" w:rsidRPr="00D74D5E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«Комфортна громада» Авангардівської селищної ради </w:t>
      </w:r>
      <w:r w:rsidR="009C1E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  2025</w:t>
      </w: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рік</w:t>
      </w:r>
      <w:proofErr w:type="spellEnd"/>
    </w:p>
    <w:tbl>
      <w:tblPr>
        <w:tblW w:w="9629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726"/>
      </w:tblGrid>
      <w:tr w:rsidR="0025344B" w:rsidRPr="00D74D5E" w:rsidTr="00305559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72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Закони України «Про місцеве самоврядування в Україні», </w:t>
            </w:r>
            <w:r w:rsidRPr="00D74D5E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України.</w:t>
            </w:r>
          </w:p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Закону України «Про благоустрій населених пунктів».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 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25344B" w:rsidRPr="00D74D5E" w:rsidTr="00305559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9C1EB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2025</w:t>
            </w:r>
            <w:r w:rsidR="0025344B"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селищної територіальної громади</w:t>
            </w:r>
          </w:p>
        </w:tc>
      </w:tr>
      <w:tr w:rsidR="0025344B" w:rsidRPr="009737FB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Програми,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94D95" w:rsidRDefault="00305840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1 </w:t>
            </w:r>
            <w:r w:rsidR="0043149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581</w:t>
            </w:r>
            <w:r w:rsidR="009C1EB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2612EA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25344B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25344B" w:rsidRDefault="00305840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КП</w:t>
            </w:r>
            <w:r w:rsidR="0025344B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</w:t>
            </w:r>
            <w:r w:rsidR="0025344B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0116030- </w:t>
            </w:r>
            <w:r w:rsidR="00F842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594</w:t>
            </w:r>
            <w:r w:rsidR="009C1EB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2612EA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,00 </w:t>
            </w:r>
            <w:r w:rsidR="0025344B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305840" w:rsidRPr="00694D95" w:rsidRDefault="00431497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КПКВ 0117330 – 9</w:t>
            </w:r>
            <w:r w:rsidR="00F842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  <w:r w:rsidR="003058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000,00 грн</w:t>
            </w:r>
          </w:p>
          <w:p w:rsidR="0025344B" w:rsidRPr="00694D95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:rsidR="0025344B" w:rsidRPr="00D74D5E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25344B" w:rsidRPr="00D74D5E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15469" w:rsidRDefault="00215469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15469" w:rsidRPr="00D74D5E" w:rsidRDefault="00215469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D74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II. Проблеми, на розв’язання яких спрямована програма</w:t>
      </w:r>
    </w:p>
    <w:p w:rsidR="00B7555F" w:rsidRPr="00D74D5E" w:rsidRDefault="00B7555F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Благоустрій території громади – це комплекс робіт з інженерного захисту, розчищення та озеленення території, а також ряд соціально-економічних, організаційно-правових та екологічних заходів із поліпшення мікроклімату, санітарного очищення  території населених пунктів громади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забезпечення 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безперебійного постачання електричної енергій для вуличного освітлення території громади, 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поточні та капітальні ремонти вуличного освітлення, мереж водозабезпечення та водовідведення а також капі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тальний ремонт, реконструкції, будівництво споруд, установ та закладів фізичної культури та інших об’єктів комунальної власності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які знаходяться на балансі Авангардівської селищної ради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Впродовж останніх років у громаді проводиться значна робота у сфері благоустрою,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що включає прибирання території, поточний ремонт та обслуговування вуличного освітлення, </w:t>
      </w:r>
      <w:r w:rsid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капітальні ремонти та будівництво споруд, установ та закладів фізичної культури та інших об’єктів комунальної власності,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які знаходяться на балансі Авангардівської селищної ради</w:t>
      </w:r>
      <w:r w:rsid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озеленення вулиць, утрим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ання парків, скверів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 інші роботи.</w:t>
      </w: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Проблеми утримання в належному стані території населених пунктів громади, їх озеленення, відновлення об`єктів благоустрою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 інших об’єктів комунальної власності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потребують подальшого комплексного вирішення.</w:t>
      </w:r>
    </w:p>
    <w:p w:rsidR="00D74D5E" w:rsidRPr="00D74D5E" w:rsidRDefault="00D74D5E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D74D5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III. Мета програми</w:t>
      </w: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Програма спрямована на забезпечення утримання в належному санітарному 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стані території громади (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малих архітектурних форм, парків, площ, меморіальних комплексів в парках та скверах), озеленення територій,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капітальні ремонти, реконструкції та будівництво об’єктів та споруд для розвитку фізичної культури та інших об’єктів комунальної власності,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раціональне використання та охорона об’єктів благоустрою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які знаходяться на балансі Авангардівської селищної ради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створення умов щодо захисту і відновлення сприятливого для ж</w:t>
      </w:r>
      <w:r w:rsidR="003D436A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иттєдіяльності людини довкілля.</w:t>
      </w:r>
    </w:p>
    <w:p w:rsidR="0025344B" w:rsidRPr="00D74D5E" w:rsidRDefault="0025344B" w:rsidP="00D74D5E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25344B" w:rsidRPr="00D74D5E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IV. Обсяги та джерела фінансування, строки виконання Програми</w:t>
      </w:r>
    </w:p>
    <w:p w:rsidR="0025344B" w:rsidRPr="00D74D5E" w:rsidRDefault="0025344B" w:rsidP="001032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Фінансування Програми здійснюється за рахунок коштів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бюджету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селищної територіальної громади.</w:t>
      </w:r>
    </w:p>
    <w:p w:rsidR="0025344B" w:rsidRPr="00D74D5E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Обсяг кош</w:t>
      </w:r>
      <w:r w:rsidR="009C1E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тів на 2025</w:t>
      </w:r>
      <w:r w:rsidR="00817C4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 становить 1 </w:t>
      </w:r>
      <w:r w:rsidR="0043149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581</w:t>
      </w:r>
      <w:r w:rsidR="009C1E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000</w:t>
      </w:r>
      <w:r w:rsidR="002154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,00</w:t>
      </w:r>
      <w:r w:rsidR="007C505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грн., і може змінюватись при внесенні змін до селищного бюджету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громади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25344B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Строк реалі</w:t>
      </w:r>
      <w:r w:rsidR="009C1E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зації програми до 31 грудня 2025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року.</w:t>
      </w:r>
    </w:p>
    <w:p w:rsidR="00215469" w:rsidRPr="00D74D5E" w:rsidRDefault="00215469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V. Напрями діяльності та заходи Програми</w:t>
      </w:r>
    </w:p>
    <w:p w:rsidR="0025344B" w:rsidRPr="00D74D5E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Реалізація Програми буде здійснюватися шляхом виконання заходів, які дадуть змогу забезпечити комплексний благоустрій території громади та сприятливе для життєдіяльності людин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и середовища, а саме:(Додаток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1)</w:t>
      </w:r>
    </w:p>
    <w:p w:rsidR="0025344B" w:rsidRPr="009F2396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612E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Утримання площ, скверів в належному стані (полив зелених насаджень)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;</w:t>
      </w:r>
    </w:p>
    <w:p w:rsidR="009F2396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612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Придбання предметів, матеріалів, обладнання та інвентарю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="009F2396" w:rsidRPr="009F239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257DC2" w:rsidRDefault="00257DC2" w:rsidP="00257DC2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57DC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Обслуговування камер відеоспостереження, які розміщені на території Авангардівської селищної ради</w:t>
      </w:r>
    </w:p>
    <w:p w:rsidR="0032699E" w:rsidRPr="004952B9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</w:pPr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 xml:space="preserve">Придбання </w:t>
      </w:r>
      <w:proofErr w:type="spellStart"/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>відереєстратора</w:t>
      </w:r>
      <w:proofErr w:type="spellEnd"/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 xml:space="preserve"> та, накопичувача для встановлення системи відеоспостереження с. Нова Долина.</w:t>
      </w:r>
    </w:p>
    <w:p w:rsidR="0032699E" w:rsidRPr="004952B9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</w:pPr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 xml:space="preserve">Виготовлення </w:t>
      </w:r>
      <w:proofErr w:type="spellStart"/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>проєктно</w:t>
      </w:r>
      <w:proofErr w:type="spellEnd"/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 xml:space="preserve">-кошторисної документації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</w:r>
      <w:proofErr w:type="spellStart"/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>адресою</w:t>
      </w:r>
      <w:proofErr w:type="spellEnd"/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>: Одеська область., Одеський р-н, с-ще., Авангард, вул. Фруктова, 9А.</w:t>
      </w:r>
    </w:p>
    <w:p w:rsidR="0032699E" w:rsidRPr="004952B9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</w:pPr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 xml:space="preserve">Виконання будівельних робіт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</w:r>
      <w:proofErr w:type="spellStart"/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>адресою</w:t>
      </w:r>
      <w:proofErr w:type="spellEnd"/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>: Одеська область., Одеський р-н, с-ще., Авангард, вул. Фруктова, 9А.</w:t>
      </w:r>
    </w:p>
    <w:p w:rsidR="004952B9" w:rsidRPr="004952B9" w:rsidRDefault="004952B9" w:rsidP="004952B9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</w:pPr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 xml:space="preserve">Приєднання до газорозподільних систем </w:t>
      </w:r>
      <w:proofErr w:type="spellStart"/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>теплогенераторної</w:t>
      </w:r>
      <w:proofErr w:type="spellEnd"/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 xml:space="preserve"> амбулаторії за </w:t>
      </w:r>
      <w:proofErr w:type="spellStart"/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>адресою</w:t>
      </w:r>
      <w:proofErr w:type="spellEnd"/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 xml:space="preserve"> Одеська обл., Овідіопольський р-н, смт Авангард, вул. Фруктова, 9-а".</w:t>
      </w:r>
    </w:p>
    <w:p w:rsidR="004952B9" w:rsidRPr="004952B9" w:rsidRDefault="004952B9" w:rsidP="004952B9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</w:pPr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 xml:space="preserve">Будівництво: Газопостачання </w:t>
      </w:r>
      <w:proofErr w:type="spellStart"/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>теплогенераторної</w:t>
      </w:r>
      <w:proofErr w:type="spellEnd"/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 xml:space="preserve"> амбулаторії  за </w:t>
      </w:r>
      <w:proofErr w:type="spellStart"/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>адресою</w:t>
      </w:r>
      <w:proofErr w:type="spellEnd"/>
      <w:r w:rsidRPr="004952B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uk-UA" w:eastAsia="ru-RU"/>
        </w:rPr>
        <w:t xml:space="preserve"> Одеська обл., Овідіопольський р-н, смт Авангард, вул. Фруктова, 9-а".</w:t>
      </w:r>
    </w:p>
    <w:p w:rsidR="001032DC" w:rsidRDefault="001032DC" w:rsidP="001032DC">
      <w:pPr>
        <w:shd w:val="clear" w:color="auto" w:fill="FFFFFF"/>
        <w:spacing w:after="0" w:line="276" w:lineRule="auto"/>
        <w:ind w:left="720" w:right="2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VI</w:t>
      </w: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Ресурсне забезпечення програми</w:t>
      </w:r>
    </w:p>
    <w:p w:rsidR="001032DC" w:rsidRPr="009F2396" w:rsidRDefault="001032DC" w:rsidP="001032DC">
      <w:p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Обсяги фінансування на виконання Програми визначені у додатку № 1 до Програми.</w:t>
      </w:r>
    </w:p>
    <w:p w:rsidR="0025344B" w:rsidRPr="00D74D5E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VI</w:t>
      </w:r>
      <w:r w:rsidR="00D20C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 Координація та контроль за ходом виконання Програми</w:t>
      </w:r>
    </w:p>
    <w:p w:rsidR="001032DC" w:rsidRPr="001032DC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:rsidR="001032DC" w:rsidRPr="001032DC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:rsidR="001032DC" w:rsidRPr="001032DC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Інформація про прийняття Програми, її офіційний текст та хід виконання публікується на офіційному сайті </w:t>
      </w:r>
      <w:proofErr w:type="spellStart"/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Авангардівської</w:t>
      </w:r>
      <w:proofErr w:type="spellEnd"/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селищної ради </w:t>
      </w:r>
      <w:proofErr w:type="spellStart"/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ради</w:t>
      </w:r>
      <w:proofErr w:type="spellEnd"/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http://avangard.odessa.gov.ua/ .</w:t>
      </w:r>
    </w:p>
    <w:p w:rsidR="001032DC" w:rsidRPr="00D74D5E" w:rsidRDefault="001032DC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Default="0025344B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="008F53A4" w:rsidRPr="00D74D5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Секретар ради                     </w:t>
      </w:r>
      <w:r w:rsidR="00B343A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</w:t>
      </w:r>
      <w:r w:rsidR="008F53A4" w:rsidRPr="00D74D5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Валентина ЩУР</w:t>
      </w: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721A93" w:rsidRDefault="00721A93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sectPr w:rsidR="00721A93" w:rsidSect="00CE2CE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Додаток №1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до Програми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1A93" w:rsidRPr="00721A93" w:rsidRDefault="00721A93" w:rsidP="00721A93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Напрями діяльності</w:t>
      </w:r>
      <w:r w:rsidRPr="00721A93">
        <w:rPr>
          <w:rFonts w:ascii="Calibri" w:eastAsia="Calibri" w:hAnsi="Calibri" w:cs="Times New Roman"/>
          <w:b/>
          <w:bCs/>
          <w:sz w:val="28"/>
          <w:szCs w:val="28"/>
          <w:lang w:val="uk-UA"/>
        </w:rPr>
        <w:t xml:space="preserve"> та</w:t>
      </w: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заходи 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«Комфортна громада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  Аванг</w:t>
      </w:r>
      <w:r w:rsidR="00D20C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ардівської селищної ради на 202</w:t>
      </w:r>
      <w:r w:rsidR="009C1E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                                               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</w:p>
    <w:tbl>
      <w:tblPr>
        <w:tblW w:w="155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56"/>
        <w:gridCol w:w="3996"/>
        <w:gridCol w:w="1097"/>
        <w:gridCol w:w="1540"/>
        <w:gridCol w:w="1606"/>
        <w:gridCol w:w="1554"/>
        <w:gridCol w:w="1417"/>
        <w:gridCol w:w="1559"/>
        <w:gridCol w:w="2224"/>
      </w:tblGrid>
      <w:tr w:rsidR="00721A93" w:rsidRPr="00721A93" w:rsidTr="005C42E3">
        <w:trPr>
          <w:trHeight w:val="540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Орієнтовні обсяги фінансування (вартість),</w:t>
            </w:r>
          </w:p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721A93" w:rsidRPr="00721A93" w:rsidTr="005C42E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721A93" w:rsidTr="005C42E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КТКВКМБ 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721A93" w:rsidTr="005C42E3">
        <w:trPr>
          <w:trHeight w:val="128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C12241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C12241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2025</w:t>
            </w:r>
            <w:r w:rsidR="00F75C2D"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C12241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Авангардівська</w:t>
            </w:r>
            <w:proofErr w:type="spellEnd"/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C12241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 xml:space="preserve">бюджет </w:t>
            </w:r>
          </w:p>
          <w:p w:rsidR="00F75C2D" w:rsidRPr="00C12241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C12241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265</w:t>
            </w:r>
            <w:r w:rsidR="009C1EBB"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C12241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265</w:t>
            </w:r>
            <w:r w:rsidR="009C1EBB"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C12241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</w:p>
          <w:p w:rsidR="00F75C2D" w:rsidRPr="00C12241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0116030</w:t>
            </w:r>
          </w:p>
          <w:p w:rsidR="00F75C2D" w:rsidRPr="00C12241" w:rsidRDefault="009C1EBB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(КЕКВ 22</w:t>
            </w:r>
            <w:r w:rsidR="00F75C2D"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10)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C12241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Забезпечення матеріально-технічною базою для реалізації заходів програми</w:t>
            </w:r>
          </w:p>
        </w:tc>
      </w:tr>
      <w:tr w:rsidR="00E25169" w:rsidRPr="00721A93" w:rsidTr="005C42E3">
        <w:trPr>
          <w:trHeight w:val="1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E25169" w:rsidP="003269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 xml:space="preserve">Придбання </w:t>
            </w:r>
            <w:proofErr w:type="spellStart"/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відереєстратора</w:t>
            </w:r>
            <w:proofErr w:type="spellEnd"/>
            <w:r w:rsidR="0032699E"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 xml:space="preserve"> та, накопичувача для встановлення системи відеоспостереження с. Нова Долина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32699E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32699E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Авангардівська</w:t>
            </w:r>
            <w:proofErr w:type="spellEnd"/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99E" w:rsidRPr="00C12241" w:rsidRDefault="0032699E" w:rsidP="003269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 xml:space="preserve">бюджет </w:t>
            </w:r>
          </w:p>
          <w:p w:rsidR="00E25169" w:rsidRPr="00C12241" w:rsidRDefault="0032699E" w:rsidP="003269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0116030</w:t>
            </w:r>
          </w:p>
          <w:p w:rsidR="0032699E" w:rsidRPr="00C12241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 xml:space="preserve">(КЕКВ 2210-35 000,00; КЕКВ 3110 – 40 000,00)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32699E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Утримання системи відеоспостереження територіальної громади в належному стані</w:t>
            </w:r>
          </w:p>
        </w:tc>
      </w:tr>
      <w:tr w:rsidR="00F75C2D" w:rsidRPr="00721A93" w:rsidTr="005C42E3">
        <w:trPr>
          <w:trHeight w:val="1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площ, скверів в належному стані (полив зелених насаджень)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136 000,00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136 000,00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2272)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озеленої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території в належному стані</w:t>
            </w:r>
          </w:p>
        </w:tc>
      </w:tr>
      <w:tr w:rsidR="00F75C2D" w:rsidRPr="0048230E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F75C2D" w:rsidRPr="0048230E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Обслуговування камер відеоспостереження, які розміщені на території Авангардівської селищної ради</w:t>
            </w:r>
          </w:p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системи відеоспостереження територіальної громади в належному стані </w:t>
            </w:r>
          </w:p>
        </w:tc>
      </w:tr>
      <w:tr w:rsidR="00E25169" w:rsidRPr="0048230E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E25169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  <w:t xml:space="preserve">Виготовлення </w:t>
            </w:r>
            <w:proofErr w:type="spellStart"/>
            <w:r w:rsidRPr="00C122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  <w:t>проєктно</w:t>
            </w:r>
            <w:proofErr w:type="spellEnd"/>
            <w:r w:rsidRPr="00C122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  <w:t xml:space="preserve">-кошторисної документації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      </w:r>
            <w:proofErr w:type="spellStart"/>
            <w:r w:rsidRPr="00C122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  <w:t>адресою</w:t>
            </w:r>
            <w:proofErr w:type="spellEnd"/>
            <w:r w:rsidRPr="00C122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  <w:t xml:space="preserve">: Одеська область.,  </w:t>
            </w:r>
            <w:r w:rsidRPr="00C122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  <w:lastRenderedPageBreak/>
              <w:t>Одеський р-н, с-ще., Авангард, вул. Фруктова, 9А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lastRenderedPageBreak/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Авангардівська</w:t>
            </w:r>
            <w:proofErr w:type="spellEnd"/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 xml:space="preserve">бюджет </w:t>
            </w:r>
          </w:p>
          <w:p w:rsidR="00E25169" w:rsidRPr="00C12241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E2516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80 000,00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E25169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E25169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 xml:space="preserve">0117330 </w:t>
            </w:r>
          </w:p>
          <w:p w:rsidR="00E25169" w:rsidRPr="00C12241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(КЕКВ 3122</w:t>
            </w:r>
            <w:r w:rsidR="00E25169"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Будівництво </w:t>
            </w:r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мереж зовнішнього електропостачання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для приєднання </w:t>
            </w:r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Авангардівської амбулаторії загальної практики сімейної медицини за </w:t>
            </w:r>
            <w:proofErr w:type="spellStart"/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: </w:t>
            </w:r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Одеська область.,  Одеський р-н, с-ще., Авангард, вул. Фруктова, 9А</w:t>
            </w:r>
          </w:p>
        </w:tc>
      </w:tr>
      <w:tr w:rsidR="00E25169" w:rsidRPr="0048230E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E25169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  <w:t xml:space="preserve">Виконання будівельних робіт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      </w:r>
            <w:proofErr w:type="spellStart"/>
            <w:r w:rsidRPr="00C122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  <w:t>адресою</w:t>
            </w:r>
            <w:proofErr w:type="spellEnd"/>
            <w:r w:rsidRPr="00C122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  <w:t>: Одеська область.,  Одеський р-н, с-ще., Авангард, вул. Фруктова, 9А.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Авангардівська</w:t>
            </w:r>
            <w:proofErr w:type="spellEnd"/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 xml:space="preserve">бюджет </w:t>
            </w:r>
          </w:p>
          <w:p w:rsidR="00E25169" w:rsidRPr="00C12241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E2516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600 000,00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E25169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C12241" w:rsidRDefault="00E25169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0117330</w:t>
            </w:r>
          </w:p>
          <w:p w:rsidR="00E25169" w:rsidRPr="00C12241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(КЕКВ 3122</w:t>
            </w:r>
            <w:r w:rsidR="00E25169"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E251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Будівництво мереж зовнішнього електропостачання для приєднання Авангардівської амбулаторії загальної практики сімейної медицини за </w:t>
            </w:r>
            <w:proofErr w:type="spellStart"/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: Одеська область.,  Одеський р-н, с-ще., Авангард, вул. Фруктова, 9А</w:t>
            </w:r>
          </w:p>
        </w:tc>
      </w:tr>
      <w:tr w:rsidR="00833FA2" w:rsidRPr="00833FA2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C12241" w:rsidRDefault="00833FA2" w:rsidP="00495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833F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Приєднання до газорозподільних систем</w:t>
            </w:r>
            <w:r w:rsidR="004952B9"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952B9"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="004952B9"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амбулаторії  за </w:t>
            </w:r>
            <w:proofErr w:type="spellStart"/>
            <w:r w:rsidR="004952B9"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="004952B9"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Одеська обл., Овідіопольський р-н, смт Авангард, вул. Фруктова, 9-а".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C12241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C12241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Авангардівська</w:t>
            </w:r>
            <w:proofErr w:type="spellEnd"/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C12241" w:rsidRDefault="00833FA2" w:rsidP="00833FA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 xml:space="preserve">бюджет </w:t>
            </w:r>
          </w:p>
          <w:p w:rsidR="00833FA2" w:rsidRPr="00C12241" w:rsidRDefault="00833FA2" w:rsidP="00833FA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C12241" w:rsidRDefault="00833FA2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18 000,00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C12241" w:rsidRDefault="00833FA2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18 000,00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Default="00833FA2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0116030</w:t>
            </w:r>
          </w:p>
          <w:p w:rsidR="00833FA2" w:rsidRPr="00C12241" w:rsidRDefault="00833FA2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25169" w:rsidRDefault="004952B9" w:rsidP="00495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Газопостачання </w:t>
            </w:r>
            <w:proofErr w:type="spellStart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амбулаторії  за </w:t>
            </w:r>
            <w:proofErr w:type="spellStart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Одеська обл., Овідіопольський р-н, смт Авангард, вул. Фруктова, 9-а". </w:t>
            </w:r>
          </w:p>
        </w:tc>
      </w:tr>
      <w:tr w:rsidR="00833FA2" w:rsidRPr="00833FA2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C12241" w:rsidRDefault="004952B9" w:rsidP="00495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Б</w:t>
            </w:r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удівництво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:</w:t>
            </w:r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Газопостачання </w:t>
            </w:r>
            <w:proofErr w:type="spellStart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амбулаторії  за </w:t>
            </w:r>
            <w:proofErr w:type="spellStart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Одеська обл., Овідіопольський р-н, смт Авангард, вул. Фруктова, 9-а".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C12241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C12241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Авангардівська</w:t>
            </w:r>
            <w:proofErr w:type="spellEnd"/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C12241" w:rsidRDefault="00833FA2" w:rsidP="00833FA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 xml:space="preserve">бюджет </w:t>
            </w:r>
          </w:p>
          <w:p w:rsidR="00833FA2" w:rsidRPr="00C12241" w:rsidRDefault="00833FA2" w:rsidP="00833FA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C12241" w:rsidRDefault="004952B9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307 000</w:t>
            </w:r>
            <w:r w:rsidR="00833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C12241" w:rsidRDefault="004952B9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307</w:t>
            </w:r>
            <w:r w:rsidR="00833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Default="00833FA2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0117330</w:t>
            </w:r>
          </w:p>
          <w:p w:rsidR="00833FA2" w:rsidRPr="00C12241" w:rsidRDefault="00833FA2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(КЕКВ 3122)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25169" w:rsidRDefault="004952B9" w:rsidP="00495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Газопостачання </w:t>
            </w:r>
            <w:proofErr w:type="spellStart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амбулаторії  за </w:t>
            </w:r>
            <w:proofErr w:type="spellStart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Одеська обл., Овідіопольський р-н, смт Авангард, вул. Фруктова, 9-а". </w:t>
            </w:r>
          </w:p>
        </w:tc>
      </w:tr>
      <w:tr w:rsidR="00F75C2D" w:rsidRPr="00721A93" w:rsidTr="005C42E3">
        <w:trPr>
          <w:trHeight w:val="102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431497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1 581</w:t>
            </w:r>
            <w:r w:rsidR="00F84206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431497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1 581 </w:t>
            </w:r>
            <w:r w:rsidR="00F8420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000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Х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</w:tr>
    </w:tbl>
    <w:p w:rsid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44D99" w:rsidRDefault="00344D99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44D99" w:rsidRPr="00721A93" w:rsidRDefault="00344D99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1A93" w:rsidRPr="00721A93" w:rsidRDefault="00721A93" w:rsidP="0021546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1A9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 Валентина ЩУР</w:t>
      </w:r>
    </w:p>
    <w:p w:rsidR="00721A93" w:rsidRPr="00721A93" w:rsidRDefault="00721A93" w:rsidP="00721A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032DC" w:rsidRPr="00214A5F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sectPr w:rsidR="001032DC" w:rsidRPr="00214A5F" w:rsidSect="0028060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C479DC"/>
    <w:multiLevelType w:val="multilevel"/>
    <w:tmpl w:val="A41C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402EE"/>
    <w:multiLevelType w:val="hybridMultilevel"/>
    <w:tmpl w:val="6C1CEEF8"/>
    <w:lvl w:ilvl="0" w:tplc="D358751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09683514">
    <w:abstractNumId w:val="2"/>
  </w:num>
  <w:num w:numId="2" w16cid:durableId="1850876121">
    <w:abstractNumId w:val="1"/>
  </w:num>
  <w:num w:numId="3" w16cid:durableId="1842617009">
    <w:abstractNumId w:val="7"/>
  </w:num>
  <w:num w:numId="4" w16cid:durableId="1000622385">
    <w:abstractNumId w:val="0"/>
  </w:num>
  <w:num w:numId="5" w16cid:durableId="641731880">
    <w:abstractNumId w:val="3"/>
  </w:num>
  <w:num w:numId="6" w16cid:durableId="406656673">
    <w:abstractNumId w:val="4"/>
  </w:num>
  <w:num w:numId="7" w16cid:durableId="1627740451">
    <w:abstractNumId w:val="6"/>
  </w:num>
  <w:num w:numId="8" w16cid:durableId="900138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1B"/>
    <w:rsid w:val="000048EA"/>
    <w:rsid w:val="0005088F"/>
    <w:rsid w:val="000A5DA2"/>
    <w:rsid w:val="000D614A"/>
    <w:rsid w:val="000E2984"/>
    <w:rsid w:val="000E6006"/>
    <w:rsid w:val="001032DC"/>
    <w:rsid w:val="001277B6"/>
    <w:rsid w:val="001C0B9E"/>
    <w:rsid w:val="001C2CD1"/>
    <w:rsid w:val="001D669A"/>
    <w:rsid w:val="00214A5F"/>
    <w:rsid w:val="00215469"/>
    <w:rsid w:val="00233F74"/>
    <w:rsid w:val="00242EC9"/>
    <w:rsid w:val="002466DF"/>
    <w:rsid w:val="00246E4C"/>
    <w:rsid w:val="0025344B"/>
    <w:rsid w:val="00257DC2"/>
    <w:rsid w:val="002612EA"/>
    <w:rsid w:val="00280607"/>
    <w:rsid w:val="002F46C4"/>
    <w:rsid w:val="00305559"/>
    <w:rsid w:val="00305840"/>
    <w:rsid w:val="0032080B"/>
    <w:rsid w:val="003235E9"/>
    <w:rsid w:val="0032699E"/>
    <w:rsid w:val="003333ED"/>
    <w:rsid w:val="00344D99"/>
    <w:rsid w:val="00357B98"/>
    <w:rsid w:val="003708BC"/>
    <w:rsid w:val="003735E4"/>
    <w:rsid w:val="003D436A"/>
    <w:rsid w:val="003E23AF"/>
    <w:rsid w:val="00431497"/>
    <w:rsid w:val="0045431B"/>
    <w:rsid w:val="004753B4"/>
    <w:rsid w:val="0048063D"/>
    <w:rsid w:val="0048230E"/>
    <w:rsid w:val="004952B9"/>
    <w:rsid w:val="004B372F"/>
    <w:rsid w:val="004D47FB"/>
    <w:rsid w:val="004E4C6B"/>
    <w:rsid w:val="004F4800"/>
    <w:rsid w:val="005229D0"/>
    <w:rsid w:val="00532675"/>
    <w:rsid w:val="00540024"/>
    <w:rsid w:val="00570F98"/>
    <w:rsid w:val="00592BFF"/>
    <w:rsid w:val="005C1082"/>
    <w:rsid w:val="005C42E3"/>
    <w:rsid w:val="005E4DF0"/>
    <w:rsid w:val="00654A5C"/>
    <w:rsid w:val="00694D95"/>
    <w:rsid w:val="0069712B"/>
    <w:rsid w:val="006D4EAA"/>
    <w:rsid w:val="006F3418"/>
    <w:rsid w:val="00721A93"/>
    <w:rsid w:val="007422EF"/>
    <w:rsid w:val="007649EF"/>
    <w:rsid w:val="007A1F20"/>
    <w:rsid w:val="007A2F13"/>
    <w:rsid w:val="007C505C"/>
    <w:rsid w:val="007E02C5"/>
    <w:rsid w:val="007F5EBB"/>
    <w:rsid w:val="00817C44"/>
    <w:rsid w:val="00822A23"/>
    <w:rsid w:val="0082542C"/>
    <w:rsid w:val="00833FA2"/>
    <w:rsid w:val="008443A9"/>
    <w:rsid w:val="00844407"/>
    <w:rsid w:val="00854279"/>
    <w:rsid w:val="008968A1"/>
    <w:rsid w:val="008D70FA"/>
    <w:rsid w:val="008F53A4"/>
    <w:rsid w:val="0093480A"/>
    <w:rsid w:val="00942931"/>
    <w:rsid w:val="009737FB"/>
    <w:rsid w:val="009C1EBB"/>
    <w:rsid w:val="009F2396"/>
    <w:rsid w:val="00A31E39"/>
    <w:rsid w:val="00A55080"/>
    <w:rsid w:val="00A73F62"/>
    <w:rsid w:val="00A8535A"/>
    <w:rsid w:val="00B226CC"/>
    <w:rsid w:val="00B343AE"/>
    <w:rsid w:val="00B47D60"/>
    <w:rsid w:val="00B72BD9"/>
    <w:rsid w:val="00B7555F"/>
    <w:rsid w:val="00B83AEB"/>
    <w:rsid w:val="00B85E3E"/>
    <w:rsid w:val="00B94A0F"/>
    <w:rsid w:val="00BB710F"/>
    <w:rsid w:val="00BC1F5A"/>
    <w:rsid w:val="00C12241"/>
    <w:rsid w:val="00C3585B"/>
    <w:rsid w:val="00C43A8D"/>
    <w:rsid w:val="00CB7378"/>
    <w:rsid w:val="00CC66DF"/>
    <w:rsid w:val="00CE2CED"/>
    <w:rsid w:val="00CF054C"/>
    <w:rsid w:val="00D20CDD"/>
    <w:rsid w:val="00D74D5E"/>
    <w:rsid w:val="00DD03F0"/>
    <w:rsid w:val="00E04A19"/>
    <w:rsid w:val="00E1733B"/>
    <w:rsid w:val="00E25169"/>
    <w:rsid w:val="00E302F2"/>
    <w:rsid w:val="00EA2C0B"/>
    <w:rsid w:val="00EC79EC"/>
    <w:rsid w:val="00EE6F5C"/>
    <w:rsid w:val="00F41E06"/>
    <w:rsid w:val="00F4409E"/>
    <w:rsid w:val="00F75C2D"/>
    <w:rsid w:val="00F8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30C0D-2AD5-4C2F-9BF4-44F4F5A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21A93"/>
    <w:rPr>
      <w:i/>
      <w:iCs/>
    </w:rPr>
  </w:style>
  <w:style w:type="paragraph" w:customStyle="1" w:styleId="rtecenter">
    <w:name w:val="rtecenter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A93"/>
    <w:rPr>
      <w:b/>
      <w:bCs/>
    </w:rPr>
  </w:style>
  <w:style w:type="paragraph" w:customStyle="1" w:styleId="rtejustify">
    <w:name w:val="rtejustify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unhideWhenUsed/>
    <w:rsid w:val="00721A93"/>
    <w:rPr>
      <w:color w:val="0563C1"/>
      <w:u w:val="single"/>
    </w:rPr>
  </w:style>
  <w:style w:type="paragraph" w:styleId="a6">
    <w:name w:val="List Paragraph"/>
    <w:basedOn w:val="a"/>
    <w:uiPriority w:val="99"/>
    <w:qFormat/>
    <w:rsid w:val="00721A93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1A93"/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0"/>
    <w:uiPriority w:val="99"/>
    <w:semiHidden/>
    <w:rsid w:val="00721A9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21A93"/>
    <w:rPr>
      <w:color w:val="0563C1" w:themeColor="hyperlink"/>
      <w:u w:val="single"/>
    </w:rPr>
  </w:style>
  <w:style w:type="paragraph" w:styleId="a7">
    <w:name w:val="Balloon Text"/>
    <w:basedOn w:val="a"/>
    <w:link w:val="11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7"/>
    <w:uiPriority w:val="99"/>
    <w:semiHidden/>
    <w:rsid w:val="00721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79DCC-7B65-4734-AFB7-F932C8F1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8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105</cp:revision>
  <cp:lastPrinted>2024-06-25T11:44:00Z</cp:lastPrinted>
  <dcterms:created xsi:type="dcterms:W3CDTF">2021-11-25T11:01:00Z</dcterms:created>
  <dcterms:modified xsi:type="dcterms:W3CDTF">2025-01-24T12:27:00Z</dcterms:modified>
</cp:coreProperties>
</file>