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5F8CC7" w14:textId="77777777" w:rsidR="00213A6F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A8636B" w14:textId="77777777" w:rsidR="00213A6F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DFAD165" w14:textId="77777777" w:rsidR="00213A6F" w:rsidRPr="0007138A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E483EF" w14:textId="77777777" w:rsidR="00213A6F" w:rsidRPr="0007138A" w:rsidRDefault="00213A6F" w:rsidP="00213A6F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627C75" w14:textId="234D9FCC" w:rsidR="00213A6F" w:rsidRPr="00213A6F" w:rsidRDefault="00953F0E" w:rsidP="00213A6F">
      <w:pPr>
        <w:spacing w:after="0"/>
        <w:ind w:right="368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20.12.2024р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Програми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відновлення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об'єктів соціальної сфери, критичної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інфраструктури та житлових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будинків в умовах правового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режиму воєнного стану на 2025 рік»</w:t>
      </w:r>
    </w:p>
    <w:bookmarkEnd w:id="0"/>
    <w:p w14:paraId="3A5AEE1A" w14:textId="77777777" w:rsidR="00171C71" w:rsidRPr="00213A6F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6D72CA" w14:textId="5EB6620B" w:rsidR="003A3112" w:rsidRPr="00213A6F" w:rsidRDefault="003A3112" w:rsidP="00213A6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20.01</w:t>
      </w:r>
      <w:r w:rsidR="000472DA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472DA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№11-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345DE4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213A6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213A6F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213A6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213A6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Авангардівська селищна рада ВИРІШИЛА:</w:t>
      </w:r>
    </w:p>
    <w:p w14:paraId="73D97703" w14:textId="77777777" w:rsidR="003A3112" w:rsidRPr="00213A6F" w:rsidRDefault="003A3112" w:rsidP="00213A6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F5B0668" w14:textId="73F8225C" w:rsidR="00257265" w:rsidRDefault="00AB0389" w:rsidP="00213A6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20.12.2024р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№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213A6F" w:rsidRPr="00213A6F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2CAB97AD" w14:textId="77777777" w:rsidR="00213A6F" w:rsidRDefault="00213A6F" w:rsidP="00213A6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C067AA" w14:textId="77777777" w:rsidR="00213A6F" w:rsidRPr="00213A6F" w:rsidRDefault="00213A6F" w:rsidP="00213A6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213A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355C677" w14:textId="77777777" w:rsidR="00213A6F" w:rsidRPr="00213A6F" w:rsidRDefault="00213A6F" w:rsidP="00213A6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.2025</w:t>
      </w:r>
    </w:p>
    <w:p w14:paraId="73A647F4" w14:textId="77777777" w:rsidR="00213A6F" w:rsidRDefault="00213A6F" w:rsidP="00213A6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35D91" w14:textId="77777777" w:rsidR="00213A6F" w:rsidRPr="00213A6F" w:rsidRDefault="00213A6F" w:rsidP="00213A6F">
      <w:pPr>
        <w:spacing w:after="0"/>
        <w:ind w:right="-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213A6F" w:rsidRDefault="003A3112" w:rsidP="00213A6F">
      <w:pPr>
        <w:pStyle w:val="a6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213A6F" w:rsidRDefault="003A3112" w:rsidP="00213A6F">
      <w:pPr>
        <w:pStyle w:val="a6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213A6F" w:rsidRDefault="003A3112" w:rsidP="00213A6F">
      <w:pPr>
        <w:pStyle w:val="a6"/>
        <w:ind w:right="-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213A6F" w:rsidRDefault="003850D3" w:rsidP="003A3112">
      <w:pPr>
        <w:pStyle w:val="a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76780ED" w14:textId="38DFB6F1" w:rsidR="003A3112" w:rsidRPr="00213A6F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</w:t>
      </w:r>
      <w:r w:rsid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</w:t>
      </w:r>
      <w:r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213A6F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27E764B2" w:rsidR="003A3112" w:rsidRPr="00213A6F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13A6F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213A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213A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1C40982C" w:rsidR="003A3112" w:rsidRPr="00213A6F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</w:t>
      </w:r>
      <w:r w:rsid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97A013B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8E31C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18E7E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0845FE1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5F1CF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E7350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EA2CB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AC1C318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666310E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74CEE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329EE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E06F11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5BCBDC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BA87BD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A45E9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1CDC59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20DEB5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E0CA4D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61CA9D8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AC7FDD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B20432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057D3DF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67E67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00E52E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64E4E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BAE9842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13FF1C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2E9491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06256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D629D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D0F671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F26BE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92203E3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8FBF13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460812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546756D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B13B76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6FDE5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4B13CA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7050A5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69501C7A" w:rsidR="003F4134" w:rsidRPr="0007138A" w:rsidRDefault="003F4134" w:rsidP="00213A6F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  <w:r w:rsidR="00213A6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 </w:t>
      </w:r>
    </w:p>
    <w:p w14:paraId="2E1397F4" w14:textId="44FB44DE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>20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>3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______</w:t>
      </w:r>
      <w:r w:rsidR="00BD01F3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045586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1F6B208" w14:textId="77777777" w:rsidR="003850D3" w:rsidRDefault="003850D3" w:rsidP="00213A6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0E65302" w14:textId="354CE4EA" w:rsidR="0074277B" w:rsidRPr="00213A6F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213A6F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213A6F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2A78160" w:rsidR="00475995" w:rsidRPr="0007138A" w:rsidRDefault="005E769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26D89E42" w:rsidR="00475995" w:rsidRPr="0007138A" w:rsidRDefault="005E7690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1CC8602E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21 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208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</w:t>
      </w:r>
      <w:bookmarkStart w:id="1" w:name="_GoBack"/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>т</w:t>
      </w:r>
      <w:bookmarkEnd w:id="1"/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3F800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632CFAFE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5DEE1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43A34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213A6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2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2780"/>
        <w:gridCol w:w="1418"/>
        <w:gridCol w:w="2410"/>
        <w:gridCol w:w="9"/>
        <w:gridCol w:w="1833"/>
        <w:gridCol w:w="9"/>
        <w:gridCol w:w="1692"/>
        <w:gridCol w:w="1134"/>
        <w:gridCol w:w="236"/>
        <w:gridCol w:w="1921"/>
        <w:gridCol w:w="9"/>
        <w:gridCol w:w="102"/>
      </w:tblGrid>
      <w:tr w:rsidR="00443FA5" w:rsidRPr="0007138A" w14:paraId="3BDAFE2D" w14:textId="77777777" w:rsidTr="00167714">
        <w:trPr>
          <w:trHeight w:val="259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167714">
        <w:trPr>
          <w:gridAfter w:val="2"/>
          <w:wAfter w:w="111" w:type="dxa"/>
          <w:trHeight w:val="552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167714">
        <w:trPr>
          <w:gridAfter w:val="2"/>
          <w:wAfter w:w="111" w:type="dxa"/>
          <w:trHeight w:val="600"/>
          <w:jc w:val="center"/>
        </w:trPr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167714">
        <w:trPr>
          <w:gridAfter w:val="1"/>
          <w:wAfter w:w="102" w:type="dxa"/>
          <w:trHeight w:val="455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167714">
        <w:trPr>
          <w:gridAfter w:val="2"/>
          <w:wAfter w:w="111" w:type="dxa"/>
          <w:trHeight w:val="694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DD1CCF2" w:rsidR="00C7754F" w:rsidRPr="0007138A" w:rsidRDefault="001216FD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12 862 160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0CCB5CB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одеська область, Одеський район, смт. Авангард, вул. Нижня,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A7C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13A52B3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0CC56AB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одеська область, Одеський район, смт. Авангард, вул. Нижня, 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A7C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C96" w14:textId="77378EF0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EBAA97B" w14:textId="77777777" w:rsidR="00167714" w:rsidRP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7F3A" w14:textId="77777777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021A2FB" w14:textId="77777777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5 96</w:t>
            </w:r>
            <w:r w:rsidR="00CF2ECC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C57237" w:rsidRPr="0007138A" w14:paraId="0027816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CBEB" w14:textId="14473107" w:rsidR="00C57237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C9D7" w14:textId="38D8FAA5" w:rsidR="00C57237" w:rsidRPr="00362EEA" w:rsidRDefault="00C57237" w:rsidP="00C57237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2448" w14:textId="31FC7629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BC92" w14:textId="3D4DD6BD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450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A30913B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500DB6C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26C" w14:textId="4E4CE525" w:rsidR="00C57237" w:rsidRPr="00B0500B" w:rsidRDefault="00BB48E4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E27F3" w14:textId="03F4BA8A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F7063" w14:textId="5EA4E06D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споруд цивільного захисту населення в належному стані на території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</w:tr>
      <w:tr w:rsidR="00443FA5" w:rsidRPr="0007138A" w14:paraId="20C7DDFE" w14:textId="77777777" w:rsidTr="00167714">
        <w:trPr>
          <w:gridAfter w:val="1"/>
          <w:wAfter w:w="102" w:type="dxa"/>
          <w:trHeight w:val="741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07138A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07138A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213A6F" w14:paraId="627BB13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07138A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07138A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</w:t>
            </w:r>
            <w:r w:rsidRPr="0007138A">
              <w:rPr>
                <w:noProof/>
                <w:lang w:val="uk-UA"/>
              </w:rPr>
              <w:lastRenderedPageBreak/>
              <w:t>шифер, цвяхи, саморізи та інші будівельні матеріали);</w:t>
            </w:r>
          </w:p>
          <w:p w14:paraId="4C61E42F" w14:textId="62AB1F60" w:rsidR="0031240D" w:rsidRPr="0007138A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213A6F" w14:paraId="2A4DA4E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07138A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07138A" w:rsidRDefault="00292F15" w:rsidP="00292F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43FA5" w:rsidRPr="00213A6F" w14:paraId="63F53F0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213A6F" w14:paraId="601C80AD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едерації, шляхом усунення аварійного стану житлових 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07138A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Усунення аварійних ситуацій житлових будівель що виникли внаслідок збройної агресії Російської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Федерації</w:t>
            </w:r>
          </w:p>
        </w:tc>
      </w:tr>
      <w:bookmarkEnd w:id="2"/>
      <w:tr w:rsidR="00786DC1" w:rsidRPr="0007138A" w14:paraId="331E4BE2" w14:textId="77777777" w:rsidTr="00167714">
        <w:trPr>
          <w:gridAfter w:val="1"/>
          <w:wAfter w:w="102" w:type="dxa"/>
          <w:trHeight w:val="588"/>
          <w:jc w:val="center"/>
        </w:trPr>
        <w:tc>
          <w:tcPr>
            <w:tcW w:w="7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466608D" w:rsidR="00786DC1" w:rsidRPr="0007138A" w:rsidRDefault="005E7690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27 508 160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13A6F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29A1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B0DD8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1744-4D85-43F0-B07F-98A3A89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3325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2025-03-04T07:12:00Z</cp:lastPrinted>
  <dcterms:created xsi:type="dcterms:W3CDTF">2025-03-11T07:23:00Z</dcterms:created>
  <dcterms:modified xsi:type="dcterms:W3CDTF">2025-03-11T07:23:00Z</dcterms:modified>
</cp:coreProperties>
</file>