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Default="00F21FF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4382F3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F64E80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5A2CAD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B644F5" w14:textId="77777777" w:rsidR="00664422" w:rsidRPr="00DA7860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5BEE91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DC3154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5D38B5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5565BF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2D4319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7419E2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11BA0F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C0DFBD" w14:textId="39B2627C" w:rsidR="00F21FF2" w:rsidRPr="00E160C1" w:rsidRDefault="00F21FF2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92669F"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другого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</w:t>
      </w:r>
      <w:r w:rsidR="0098567B"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155F7C" w:rsidRPr="00E160C1">
        <w:rPr>
          <w:rFonts w:ascii="Times New Roman" w:hAnsi="Times New Roman" w:cs="Times New Roman"/>
          <w:bCs/>
          <w:sz w:val="28"/>
          <w:szCs w:val="28"/>
          <w:lang w:val="uk-UA"/>
        </w:rPr>
        <w:t>без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31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>аукціон</w:t>
      </w:r>
      <w:r w:rsidR="00155F7C" w:rsidRPr="00E160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6F542BAD" w14:textId="77777777" w:rsidR="00F21FF2" w:rsidRPr="00DA7860" w:rsidRDefault="00F21FF2" w:rsidP="00365DDF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0B1C79C5" w14:textId="155ADB9D" w:rsidR="00F21FF2" w:rsidRDefault="00F21FF2" w:rsidP="00E160C1">
      <w:pPr>
        <w:shd w:val="clear" w:color="auto" w:fill="FFFFFF" w:themeFill="background1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освіти, культури, молоді та 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майна до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>типу</w:t>
      </w:r>
      <w:r w:rsidR="000C1115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Авангардівської селищної ради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>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 w:rsidRPr="00DA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постійної комісії</w:t>
      </w:r>
      <w:r w:rsidR="00365DDF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365DDF"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65D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36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DA786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B78F81B" w14:textId="77777777" w:rsidR="00131E6D" w:rsidRPr="00131E6D" w:rsidRDefault="00131E6D" w:rsidP="00E160C1">
      <w:pPr>
        <w:shd w:val="clear" w:color="auto" w:fill="FFFFFF" w:themeFill="background1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9357768" w14:textId="68882D2C" w:rsidR="00511DB3" w:rsidRDefault="00511DB3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, що закріплений на праві оперативного управління за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молоді та 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комунальної власності Авангардівської селищної ради для передачі майна в оренду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без аукціону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14:paraId="75BA6E7C" w14:textId="7E654E30" w:rsidR="008D187E" w:rsidRDefault="008D187E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додатку</w:t>
      </w:r>
      <w:r w:rsidR="0066442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EFE71C" w14:textId="3434A9FD" w:rsidR="0098567B" w:rsidRDefault="008D187E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E85BF18" w14:textId="110F69EC" w:rsidR="008D187E" w:rsidRDefault="0098567B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77777777" w:rsidR="00F21FF2" w:rsidRPr="00DA7860" w:rsidRDefault="00F21FF2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11502F" w14:textId="77777777" w:rsidR="00646A83" w:rsidRPr="00DA7860" w:rsidRDefault="00646A83" w:rsidP="00365D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4364A640" w:rsidR="00F21FF2" w:rsidRPr="00DA7860" w:rsidRDefault="00F21FF2" w:rsidP="00365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131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74AD07A" w14:textId="77777777" w:rsidR="00131E6D" w:rsidRDefault="00131E6D" w:rsidP="00365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40E63AC1" w:rsidR="00F21FF2" w:rsidRPr="00D55AF0" w:rsidRDefault="00F21FF2" w:rsidP="00365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A5258">
        <w:rPr>
          <w:rFonts w:ascii="Times New Roman" w:hAnsi="Times New Roman" w:cs="Times New Roman"/>
          <w:b/>
          <w:sz w:val="28"/>
          <w:szCs w:val="28"/>
          <w:lang w:val="uk-UA"/>
        </w:rPr>
        <w:t>360</w:t>
      </w:r>
      <w:r w:rsidR="0050326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A5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41E6"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44515A30" w14:textId="4ED90202" w:rsidR="00050EF0" w:rsidRPr="00D55AF0" w:rsidRDefault="00F21FF2" w:rsidP="00D55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4206E7" w:rsidRPr="00D55AF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206E7" w:rsidRPr="00D55AF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55AF0"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2EDA32" w14:textId="77777777" w:rsidR="00D55AF0" w:rsidRDefault="00D55AF0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</w:p>
    <w:p w14:paraId="343CB22A" w14:textId="38237BCE" w:rsidR="00AA0B8E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Додаток 1 до рішення </w:t>
      </w:r>
    </w:p>
    <w:p w14:paraId="0D0C1BF1" w14:textId="5F6E061B" w:rsidR="004B589B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№</w:t>
      </w:r>
      <w:r w:rsidR="001A5258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360</w:t>
      </w:r>
      <w:r w:rsidR="00503267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3</w:t>
      </w:r>
      <w:bookmarkStart w:id="0" w:name="_GoBack"/>
      <w:bookmarkEnd w:id="0"/>
      <w:r w:rsidR="001A5258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</w:t>
      </w: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-VІІІ </w:t>
      </w:r>
    </w:p>
    <w:p w14:paraId="178BC9B4" w14:textId="47BD3146" w:rsidR="00AA0B8E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від 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22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.0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5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.202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5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</w:t>
      </w: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р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оку</w:t>
      </w:r>
    </w:p>
    <w:p w14:paraId="68C5CD10" w14:textId="77777777" w:rsidR="00AA0B8E" w:rsidRDefault="00AA0B8E" w:rsidP="00365DDF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AD1325D" w14:textId="77777777" w:rsidR="00365DDF" w:rsidRDefault="00365DDF" w:rsidP="0036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>Частина будівлі</w:t>
      </w:r>
      <w:r w:rsidRPr="00E00F9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Авангардівського ЗДО «Берізка» Авангардівської селищної ради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>: приміщення №</w:t>
      </w:r>
      <w:r>
        <w:rPr>
          <w:rFonts w:ascii="Times New Roman" w:hAnsi="Times New Roman" w:cs="Times New Roman"/>
          <w:sz w:val="24"/>
          <w:szCs w:val="24"/>
          <w:lang w:val="uk-UA"/>
        </w:rPr>
        <w:t>166, №167, №174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156,4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 xml:space="preserve"> кв.м., розташована за адресою: Одеська область, Одеський район, с</w:t>
      </w:r>
      <w:r>
        <w:rPr>
          <w:rFonts w:ascii="Times New Roman" w:hAnsi="Times New Roman" w:cs="Times New Roman"/>
          <w:sz w:val="24"/>
          <w:szCs w:val="24"/>
          <w:lang w:val="uk-UA"/>
        </w:rPr>
        <w:t>-ще Авангард, вул. Добрянського, 26а.</w:t>
      </w:r>
    </w:p>
    <w:p w14:paraId="4686265A" w14:textId="77777777" w:rsidR="00365DDF" w:rsidRPr="00330AC2" w:rsidRDefault="00365DDF" w:rsidP="0036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365DDF" w:rsidRPr="00330AC2" w14:paraId="640F2122" w14:textId="77777777" w:rsidTr="00BA18BC">
        <w:tc>
          <w:tcPr>
            <w:tcW w:w="271" w:type="pct"/>
            <w:vAlign w:val="center"/>
          </w:tcPr>
          <w:p w14:paraId="237A1B3F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1E73FD7B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62D016FF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365DDF" w:rsidRPr="00330AC2" w14:paraId="4E23B141" w14:textId="77777777" w:rsidTr="00BA18BC">
        <w:tc>
          <w:tcPr>
            <w:tcW w:w="271" w:type="pct"/>
          </w:tcPr>
          <w:p w14:paraId="3376EFCB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74D9FB6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698FD67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Авангардівського ЗДО «Берізка» Авангардівської селищної ради – приміщення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 №167, №174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кв.м., розташована за адресою: Одеська область, Одеський район,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 Авангард, вул. Добрянського, 26а</w:t>
            </w:r>
          </w:p>
        </w:tc>
      </w:tr>
      <w:tr w:rsidR="00365DDF" w:rsidRPr="00330AC2" w14:paraId="17202A2F" w14:textId="77777777" w:rsidTr="00BA18BC">
        <w:tc>
          <w:tcPr>
            <w:tcW w:w="271" w:type="pct"/>
          </w:tcPr>
          <w:p w14:paraId="4A53E78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0FE5E283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012F857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365DDF" w:rsidRPr="00330AC2" w14:paraId="490E56EC" w14:textId="77777777" w:rsidTr="00BA18BC">
        <w:tc>
          <w:tcPr>
            <w:tcW w:w="271" w:type="pct"/>
          </w:tcPr>
          <w:p w14:paraId="47FEFB8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1C046710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6FF29A1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806</w:t>
            </w: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Одеська область,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район,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 Авангард, вул. Добрянського, 26а</w:t>
            </w:r>
          </w:p>
        </w:tc>
      </w:tr>
      <w:tr w:rsidR="00365DDF" w:rsidRPr="00330AC2" w14:paraId="1DDD237E" w14:textId="77777777" w:rsidTr="00BA18BC">
        <w:tc>
          <w:tcPr>
            <w:tcW w:w="271" w:type="pct"/>
          </w:tcPr>
          <w:p w14:paraId="46296B3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3E03ABEC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об’єкта</w:t>
            </w:r>
          </w:p>
        </w:tc>
        <w:tc>
          <w:tcPr>
            <w:tcW w:w="1806" w:type="pct"/>
          </w:tcPr>
          <w:p w14:paraId="2DE74F6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6020,3 </w:t>
            </w: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365DDF" w:rsidRPr="00330AC2" w14:paraId="44ABF827" w14:textId="77777777" w:rsidTr="00BA18BC">
        <w:tc>
          <w:tcPr>
            <w:tcW w:w="271" w:type="pct"/>
          </w:tcPr>
          <w:p w14:paraId="47A757CA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79DFB101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15965E4A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Авангардівського ЗДО «Берізка» Авангардівської селищної ради – приміщення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 №167, №174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підвалі будівлі</w:t>
            </w:r>
          </w:p>
        </w:tc>
      </w:tr>
      <w:tr w:rsidR="00365DDF" w:rsidRPr="00330AC2" w14:paraId="69400C2E" w14:textId="77777777" w:rsidTr="00BA18BC">
        <w:tc>
          <w:tcPr>
            <w:tcW w:w="271" w:type="pct"/>
          </w:tcPr>
          <w:p w14:paraId="145BBDA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1E8735BD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4425627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Другого</w:t>
            </w: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365DDF" w:rsidRPr="00330AC2" w14:paraId="4AB3E942" w14:textId="77777777" w:rsidTr="00BA18BC">
        <w:tc>
          <w:tcPr>
            <w:tcW w:w="271" w:type="pct"/>
          </w:tcPr>
          <w:p w14:paraId="5920387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4422514B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739588F4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365DDF" w:rsidRPr="00330AC2" w14:paraId="3B9F4396" w14:textId="77777777" w:rsidTr="00BA18BC">
        <w:tc>
          <w:tcPr>
            <w:tcW w:w="271" w:type="pct"/>
          </w:tcPr>
          <w:p w14:paraId="7308631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23CF3D15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606717AF" w14:textId="77777777" w:rsidR="00365DDF" w:rsidRPr="00330AC2" w:rsidRDefault="00365DDF" w:rsidP="00365D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6E04723B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330AC2" w14:paraId="5E43A991" w14:textId="77777777" w:rsidTr="00BA18BC">
        <w:tc>
          <w:tcPr>
            <w:tcW w:w="271" w:type="pct"/>
          </w:tcPr>
          <w:p w14:paraId="67F0989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141B0DE3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6CF06AF2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257 419,90</w:t>
            </w:r>
            <w:r w:rsidRPr="000F60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365DDF" w:rsidRPr="00330AC2" w14:paraId="26573803" w14:textId="77777777" w:rsidTr="00BA18BC">
        <w:tc>
          <w:tcPr>
            <w:tcW w:w="271" w:type="pct"/>
          </w:tcPr>
          <w:p w14:paraId="64CD0FF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29EB67D4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46FB00B7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427 347,07</w:t>
            </w:r>
            <w:r w:rsidRPr="000F60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365DDF" w:rsidRPr="00330AC2" w14:paraId="69C92F91" w14:textId="77777777" w:rsidTr="00BA18BC">
        <w:tc>
          <w:tcPr>
            <w:tcW w:w="271" w:type="pct"/>
          </w:tcPr>
          <w:p w14:paraId="7B0C822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29EA4C24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1C77D4A0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C24C5E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33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абз.4 п.13 Методики розрахунку орендної плати за майно комунальної власності Авангардівської територіальної громади</w:t>
            </w:r>
          </w:p>
        </w:tc>
      </w:tr>
      <w:tr w:rsidR="00365DDF" w:rsidRPr="00330AC2" w14:paraId="23AEEA38" w14:textId="77777777" w:rsidTr="00BA18BC">
        <w:tc>
          <w:tcPr>
            <w:tcW w:w="271" w:type="pct"/>
          </w:tcPr>
          <w:p w14:paraId="6632C92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455BEA8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1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72AE4C38" w14:textId="10ACBC60" w:rsidR="00365DDF" w:rsidRPr="00330AC2" w:rsidRDefault="00365DDF" w:rsidP="00D55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потужність електромережі – достатня, об’єкт забезпечений комунікаціями </w:t>
            </w:r>
          </w:p>
        </w:tc>
      </w:tr>
      <w:tr w:rsidR="00365DDF" w:rsidRPr="00330AC2" w14:paraId="6EFDB13C" w14:textId="77777777" w:rsidTr="00BA18BC">
        <w:tc>
          <w:tcPr>
            <w:tcW w:w="271" w:type="pct"/>
          </w:tcPr>
          <w:p w14:paraId="085C332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23" w:type="pct"/>
          </w:tcPr>
          <w:p w14:paraId="5422F33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5BDAABC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365DDF" w:rsidRPr="00330AC2" w14:paraId="096ED389" w14:textId="77777777" w:rsidTr="00BA18BC">
        <w:tc>
          <w:tcPr>
            <w:tcW w:w="271" w:type="pct"/>
          </w:tcPr>
          <w:p w14:paraId="15853BD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33566ADF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154EC1D5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спортивного гуртка</w:t>
            </w:r>
          </w:p>
        </w:tc>
      </w:tr>
      <w:tr w:rsidR="00365DDF" w:rsidRPr="00330AC2" w14:paraId="00BD81F8" w14:textId="77777777" w:rsidTr="00BA18BC">
        <w:tc>
          <w:tcPr>
            <w:tcW w:w="271" w:type="pct"/>
          </w:tcPr>
          <w:p w14:paraId="7BB5E95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0CC6704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33CDFF0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365DDF" w:rsidRPr="00330AC2" w14:paraId="1C8E4307" w14:textId="77777777" w:rsidTr="00BA18BC">
        <w:tc>
          <w:tcPr>
            <w:tcW w:w="271" w:type="pct"/>
          </w:tcPr>
          <w:p w14:paraId="012FB315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DF5D1A6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7A7881F0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7C1DC151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365DDF" w:rsidRPr="00330AC2" w14:paraId="007F153B" w14:textId="77777777" w:rsidTr="00BA18BC">
        <w:tc>
          <w:tcPr>
            <w:tcW w:w="271" w:type="pct"/>
          </w:tcPr>
          <w:p w14:paraId="18AE2E1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6D2B44A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2FF5B720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EE0B02" w14:paraId="2A13C86E" w14:textId="77777777" w:rsidTr="00BA18BC">
        <w:tc>
          <w:tcPr>
            <w:tcW w:w="271" w:type="pct"/>
          </w:tcPr>
          <w:p w14:paraId="265E1A4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0323D9B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1163E304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008BBA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330AC2" w14:paraId="34034163" w14:textId="77777777" w:rsidTr="00BA18BC">
        <w:trPr>
          <w:trHeight w:val="424"/>
        </w:trPr>
        <w:tc>
          <w:tcPr>
            <w:tcW w:w="271" w:type="pct"/>
          </w:tcPr>
          <w:p w14:paraId="53FCDC2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2696CD3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024B72E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2384AD90" w14:textId="77777777" w:rsidR="00365DDF" w:rsidRPr="00330AC2" w:rsidRDefault="00365DDF" w:rsidP="00365DD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65DDF" w:rsidRPr="00330AC2" w14:paraId="7F285D3E" w14:textId="77777777" w:rsidTr="00BA18BC">
        <w:trPr>
          <w:trHeight w:val="724"/>
        </w:trPr>
        <w:tc>
          <w:tcPr>
            <w:tcW w:w="271" w:type="pct"/>
          </w:tcPr>
          <w:p w14:paraId="7BF035C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494CD436" w14:textId="77777777" w:rsidR="00365DDF" w:rsidRPr="00330AC2" w:rsidRDefault="00365DDF" w:rsidP="00365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2375F44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45E86BB7" w14:textId="77777777" w:rsidR="00365DDF" w:rsidRPr="00330AC2" w:rsidRDefault="00365DDF" w:rsidP="00D55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B43A38" w14:textId="43266532" w:rsidR="00F21FF2" w:rsidRPr="00131E6D" w:rsidRDefault="00131E6D" w:rsidP="00365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="00AA0B8E" w:rsidRPr="00131E6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                                                  Валентина ЩУР</w:t>
      </w:r>
    </w:p>
    <w:sectPr w:rsidR="00F21FF2" w:rsidRPr="00131E6D" w:rsidSect="00131E6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355C1" w14:textId="77777777" w:rsidR="00C65203" w:rsidRDefault="00C65203" w:rsidP="00D86F3D">
      <w:pPr>
        <w:spacing w:after="0" w:line="240" w:lineRule="auto"/>
      </w:pPr>
      <w:r>
        <w:separator/>
      </w:r>
    </w:p>
  </w:endnote>
  <w:endnote w:type="continuationSeparator" w:id="0">
    <w:p w14:paraId="01846FF2" w14:textId="77777777" w:rsidR="00C65203" w:rsidRDefault="00C65203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4A80" w14:textId="77777777" w:rsidR="00C65203" w:rsidRDefault="00C65203" w:rsidP="00D86F3D">
      <w:pPr>
        <w:spacing w:after="0" w:line="240" w:lineRule="auto"/>
      </w:pPr>
      <w:r>
        <w:separator/>
      </w:r>
    </w:p>
  </w:footnote>
  <w:footnote w:type="continuationSeparator" w:id="0">
    <w:p w14:paraId="1E2925B4" w14:textId="77777777" w:rsidR="00C65203" w:rsidRDefault="00C65203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32C"/>
    <w:rsid w:val="00027EB6"/>
    <w:rsid w:val="00032CCA"/>
    <w:rsid w:val="00037CDF"/>
    <w:rsid w:val="00041DBC"/>
    <w:rsid w:val="00050EF0"/>
    <w:rsid w:val="000728A8"/>
    <w:rsid w:val="0008494D"/>
    <w:rsid w:val="000C1115"/>
    <w:rsid w:val="00116A30"/>
    <w:rsid w:val="00131996"/>
    <w:rsid w:val="00131E6D"/>
    <w:rsid w:val="00155F7C"/>
    <w:rsid w:val="00161CA4"/>
    <w:rsid w:val="00181F30"/>
    <w:rsid w:val="001A5258"/>
    <w:rsid w:val="001A726D"/>
    <w:rsid w:val="001B0E15"/>
    <w:rsid w:val="001B7ABA"/>
    <w:rsid w:val="001C4C82"/>
    <w:rsid w:val="001D41A1"/>
    <w:rsid w:val="001E1874"/>
    <w:rsid w:val="00242A1E"/>
    <w:rsid w:val="00256B84"/>
    <w:rsid w:val="0027520D"/>
    <w:rsid w:val="00286D62"/>
    <w:rsid w:val="002873AE"/>
    <w:rsid w:val="0029046A"/>
    <w:rsid w:val="002A0E3A"/>
    <w:rsid w:val="002B3527"/>
    <w:rsid w:val="002C5554"/>
    <w:rsid w:val="002C57E5"/>
    <w:rsid w:val="002D2FFC"/>
    <w:rsid w:val="002E0FC6"/>
    <w:rsid w:val="00330AC2"/>
    <w:rsid w:val="00352D0F"/>
    <w:rsid w:val="00365DDF"/>
    <w:rsid w:val="00373713"/>
    <w:rsid w:val="00386223"/>
    <w:rsid w:val="0039766D"/>
    <w:rsid w:val="003B3E79"/>
    <w:rsid w:val="003C20A0"/>
    <w:rsid w:val="003C559D"/>
    <w:rsid w:val="003F702E"/>
    <w:rsid w:val="004138A4"/>
    <w:rsid w:val="004206E7"/>
    <w:rsid w:val="00421ECF"/>
    <w:rsid w:val="00424FC1"/>
    <w:rsid w:val="0044201B"/>
    <w:rsid w:val="0044746E"/>
    <w:rsid w:val="004602BF"/>
    <w:rsid w:val="00467642"/>
    <w:rsid w:val="00491BB8"/>
    <w:rsid w:val="004B37F9"/>
    <w:rsid w:val="004B589B"/>
    <w:rsid w:val="004D38CE"/>
    <w:rsid w:val="004E2556"/>
    <w:rsid w:val="004E74EA"/>
    <w:rsid w:val="00503267"/>
    <w:rsid w:val="00511DB3"/>
    <w:rsid w:val="00512D34"/>
    <w:rsid w:val="005141E6"/>
    <w:rsid w:val="00523139"/>
    <w:rsid w:val="0053194A"/>
    <w:rsid w:val="00534119"/>
    <w:rsid w:val="00545F61"/>
    <w:rsid w:val="0056265D"/>
    <w:rsid w:val="00577E2A"/>
    <w:rsid w:val="005933C3"/>
    <w:rsid w:val="005A4343"/>
    <w:rsid w:val="005A7236"/>
    <w:rsid w:val="005E7B11"/>
    <w:rsid w:val="00604085"/>
    <w:rsid w:val="006107B9"/>
    <w:rsid w:val="00615294"/>
    <w:rsid w:val="0063326F"/>
    <w:rsid w:val="0063437C"/>
    <w:rsid w:val="006354D6"/>
    <w:rsid w:val="00646A83"/>
    <w:rsid w:val="00664422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71D9F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4546"/>
    <w:rsid w:val="009C617F"/>
    <w:rsid w:val="00A177E5"/>
    <w:rsid w:val="00A17BE2"/>
    <w:rsid w:val="00A503B1"/>
    <w:rsid w:val="00A50E10"/>
    <w:rsid w:val="00A57B95"/>
    <w:rsid w:val="00A67988"/>
    <w:rsid w:val="00A71941"/>
    <w:rsid w:val="00A95DA1"/>
    <w:rsid w:val="00AA0B8E"/>
    <w:rsid w:val="00AC065C"/>
    <w:rsid w:val="00AD20E8"/>
    <w:rsid w:val="00AE6AC4"/>
    <w:rsid w:val="00B16DCC"/>
    <w:rsid w:val="00B21686"/>
    <w:rsid w:val="00B5587C"/>
    <w:rsid w:val="00B620BB"/>
    <w:rsid w:val="00B630FF"/>
    <w:rsid w:val="00B74FCA"/>
    <w:rsid w:val="00B959D7"/>
    <w:rsid w:val="00BA17B5"/>
    <w:rsid w:val="00BB10B4"/>
    <w:rsid w:val="00BB1D7C"/>
    <w:rsid w:val="00BD499D"/>
    <w:rsid w:val="00BE55DE"/>
    <w:rsid w:val="00C21A22"/>
    <w:rsid w:val="00C32B55"/>
    <w:rsid w:val="00C63F14"/>
    <w:rsid w:val="00C65203"/>
    <w:rsid w:val="00C71660"/>
    <w:rsid w:val="00C752EC"/>
    <w:rsid w:val="00C90454"/>
    <w:rsid w:val="00CD0F3F"/>
    <w:rsid w:val="00CD35DC"/>
    <w:rsid w:val="00CE510C"/>
    <w:rsid w:val="00CE6BCB"/>
    <w:rsid w:val="00D420B3"/>
    <w:rsid w:val="00D448E1"/>
    <w:rsid w:val="00D55AF0"/>
    <w:rsid w:val="00D638E1"/>
    <w:rsid w:val="00D74A65"/>
    <w:rsid w:val="00D83261"/>
    <w:rsid w:val="00D86F3D"/>
    <w:rsid w:val="00D935E9"/>
    <w:rsid w:val="00DA31A6"/>
    <w:rsid w:val="00DA7860"/>
    <w:rsid w:val="00DD638C"/>
    <w:rsid w:val="00DE5B4F"/>
    <w:rsid w:val="00E024F5"/>
    <w:rsid w:val="00E04E5E"/>
    <w:rsid w:val="00E160C1"/>
    <w:rsid w:val="00E242AE"/>
    <w:rsid w:val="00E32348"/>
    <w:rsid w:val="00E335BB"/>
    <w:rsid w:val="00E448DA"/>
    <w:rsid w:val="00E6572B"/>
    <w:rsid w:val="00E73F7A"/>
    <w:rsid w:val="00EC13C1"/>
    <w:rsid w:val="00EE6150"/>
    <w:rsid w:val="00EE6AA4"/>
    <w:rsid w:val="00F027D5"/>
    <w:rsid w:val="00F05E1F"/>
    <w:rsid w:val="00F131AC"/>
    <w:rsid w:val="00F14621"/>
    <w:rsid w:val="00F21FF2"/>
    <w:rsid w:val="00F22ECC"/>
    <w:rsid w:val="00F864E6"/>
    <w:rsid w:val="00F8664B"/>
    <w:rsid w:val="00FA71D1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C76AE41-4144-4873-805C-6311E9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</cp:revision>
  <dcterms:created xsi:type="dcterms:W3CDTF">2025-05-12T14:09:00Z</dcterms:created>
  <dcterms:modified xsi:type="dcterms:W3CDTF">2025-05-22T18:49:00Z</dcterms:modified>
</cp:coreProperties>
</file>