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76B05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76B05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76B05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76B05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76B05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76B05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76B05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3"/>
        <w:tblW w:w="56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648"/>
      </w:tblGrid>
      <w:tr w:rsidR="00134AE0">
        <w:trPr>
          <w:trHeight w:val="2088"/>
        </w:trPr>
        <w:tc>
          <w:tcPr>
            <w:tcW w:w="5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AE0" w:rsidRDefault="00134A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4AE0" w:rsidRDefault="00E76B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погодження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Азізі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Енамулла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розміщення огорожі земельної ділянки,             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Одеська область, Одеський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Авангардівська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ТГ, масив 26, діл. 309</w:t>
            </w:r>
          </w:p>
          <w:p w:rsidR="00134AE0" w:rsidRDefault="00134AE0">
            <w:pPr>
              <w:ind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AE0" w:rsidRDefault="00134A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4AE0" w:rsidRDefault="00E76B05">
      <w:pPr>
        <w:widowControl/>
        <w:shd w:val="clear" w:color="auto" w:fill="FFFFFF"/>
        <w:tabs>
          <w:tab w:val="left" w:pos="284"/>
        </w:tabs>
        <w:ind w:right="-1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Енамулла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20.05.2025 р. та надані матеріали щодо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погодження розміщення огорожі земельної ділянки,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ТГ, масив 26, діл. 309, враховуючи доповідну записку начальника відділу містобудування та архітектури Виконавчого органу Авангардівської селищної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В.М., керуючись положеннями Закону України  «Про місцеве самоврядування в Україні», Закону України «Про регулювання містобудівної діяльності», Закону України «Про архітектурну діяльність», ДБН А.2.2-3-2014 «Склад та зміст проектної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тації на будівництво», відповідно до положень генерального плану та план зонування території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затвердженого рішенням  Авангардівської селищної ради від 27.01.2023 року № 1691-VІІІ, положеннями Правил благоустрою території населених пункті</w:t>
      </w:r>
      <w:r>
        <w:rPr>
          <w:rFonts w:ascii="Times New Roman" w:eastAsia="Times New Roman" w:hAnsi="Times New Roman" w:cs="Times New Roman"/>
          <w:sz w:val="28"/>
          <w:szCs w:val="28"/>
        </w:rPr>
        <w:t>в Авангардівської селищної ради,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року), Виконавчий комітет Авангардівсько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селищної ради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before="240" w:line="276" w:lineRule="auto"/>
        <w:jc w:val="both"/>
        <w:rPr>
          <w:rFonts w:ascii="Times New Roman" w:eastAsia="Times New Roman" w:hAnsi="Times New Roman" w:cs="Times New Roman"/>
          <w:color w:val="3333FF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FF"/>
          <w:sz w:val="28"/>
          <w:szCs w:val="28"/>
        </w:rPr>
        <w:t xml:space="preserve"> 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Погодити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Енамулла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проведення робіт з розміщення  огорожі земельної ділянки, за кадастровим номером 5123783500:01:001:1016, площею - 3,4831 га,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ТГ, масив 26, діл. 309.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Азізі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Енамулла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34AE0" w:rsidRDefault="00134AE0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AE0" w:rsidRDefault="00E76B05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159</w:t>
      </w:r>
    </w:p>
    <w:p w:rsidR="00134AE0" w:rsidRDefault="00E76B05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21.05.2025</w:t>
      </w:r>
    </w:p>
    <w:p w:rsidR="00E76B05" w:rsidRDefault="00E76B05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B05" w:rsidRDefault="00E76B05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B05" w:rsidRDefault="00E76B05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B05" w:rsidRDefault="00E76B05">
      <w:pPr>
        <w:widowControl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забезпечити огородження земельної ділянки парканом визначеного типу, утримувати у належному стані земельну ділянку, виділену в радіусі 20 метрів від меж земельної ділянки та до проїжджої частини вулиці;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разі намірів зміни цільового призначення земельної ділянки, в установленому порядку (кадастровий номер 5123783500:01:001:1016, площею - 3,4831 га),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звернутись до відділу містобудування та архітектури Виконавчого органу Авангардів</w:t>
      </w:r>
      <w:r>
        <w:rPr>
          <w:rFonts w:ascii="Times New Roman" w:eastAsia="Times New Roman" w:hAnsi="Times New Roman" w:cs="Times New Roman"/>
          <w:sz w:val="28"/>
          <w:szCs w:val="28"/>
        </w:rPr>
        <w:t>ської селищної ради, з метою отримання витягу з чинної містобудівної документації;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у разі намірів забудови земельної ділянки, звернутись до відділу містобудування та архітектури Виконавчого органу Авангардівської селищної ради, з метою отримання в 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ановленому порядку вихідних даних на проектування - містобудівних умов та обмежень для проектування об'єкта (об'єктів) будівництва, на земельній ділянці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звернутись до організацій-балансоутримувачів відповідних інженерних мереж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 метою отримання  технічних умов для інженерного забезпечення об’єкта (об'єктів) будівництва, які повинні відповідати його розрахунковим параметрам щодо водопостачання (з урахуванням потреб забезпечення пожежогасіння), тепло-,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і газопостачання,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водовідведення, зовнішнього освітлення, відведення зливових вод та телекомунікації;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визначитись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генпроектувальником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(проектувальником), - юридичною особою, яка має у своєму складі відповідних виконавців, що згідно із законодавством отримали кваліфі</w:t>
      </w:r>
      <w:r>
        <w:rPr>
          <w:rFonts w:ascii="Times New Roman" w:eastAsia="Times New Roman" w:hAnsi="Times New Roman" w:cs="Times New Roman"/>
          <w:sz w:val="28"/>
          <w:szCs w:val="28"/>
        </w:rPr>
        <w:t>каційний сертифікат, який підтверджує спроможність виконання робіт щодо об’єктів відповідного класу наслідків (відповідальності), або фізичною особою, яка згідно з законодавством має такий кваліфікаційний сертифікат для розроблення проектної документації о</w:t>
      </w:r>
      <w:r>
        <w:rPr>
          <w:rFonts w:ascii="Times New Roman" w:eastAsia="Times New Roman" w:hAnsi="Times New Roman" w:cs="Times New Roman"/>
          <w:sz w:val="28"/>
          <w:szCs w:val="28"/>
        </w:rPr>
        <w:t>б’єкта (об'єктів) будівництва та укласти з ним договір на виконання проектних робіт;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після розроблення проектної документації надати до виконавчого комітету Авангардівської селищної ради «Паспорт опорядження фасадів» об’єкта (об'єктів) будівництва,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його розгляду та затвердження;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будівельні роботи з будівництва об’єкта (об'єктів) будівництва,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без дозволу (повідомлення про початок будівельних робіт) оформленого в Державній інспекції архітектури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містобудування України,  в установленому порядку, не починати;</w:t>
      </w:r>
    </w:p>
    <w:p w:rsidR="00E76B05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з метою забезпечення безпеки руху автотранспорту та пішоходів, проведення підготовчих робіт з будівництва об’єкта (об'єктів) будівництва,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організацію дорожнього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уху на територію у період здійснення підготовчих робіт здійснювати за умови дотримання положень Правил благоустрою території населених пунктів Авангардівської селищної </w:t>
      </w:r>
    </w:p>
    <w:p w:rsidR="00E76B05" w:rsidRDefault="00E76B05" w:rsidP="00E76B05">
      <w:pPr>
        <w:widowControl/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AE0" w:rsidRDefault="00E76B05" w:rsidP="00E76B05">
      <w:pPr>
        <w:widowControl/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ради, затверджених рішенням Авангардівської селищної ради від 23.11.2021 року № 939-VІІІ</w:t>
      </w:r>
      <w:r>
        <w:rPr>
          <w:rFonts w:ascii="Times New Roman" w:eastAsia="Times New Roman" w:hAnsi="Times New Roman" w:cs="Times New Roman"/>
          <w:sz w:val="28"/>
          <w:szCs w:val="28"/>
        </w:rPr>
        <w:t>, (Із змінами, затвердженими рішенням сесії Авангардівської селищної ради № 2383-VІІI від 01.12.2023 року).</w:t>
      </w:r>
    </w:p>
    <w:p w:rsidR="00134AE0" w:rsidRDefault="00E76B05">
      <w:pPr>
        <w:widowControl/>
        <w:shd w:val="clear" w:color="auto" w:fill="FFFFFF"/>
        <w:tabs>
          <w:tab w:val="left" w:pos="284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AE0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AE0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34AE0" w:rsidRDefault="00E76B05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AE0" w:rsidRDefault="00134AE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134AE0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40F34"/>
    <w:multiLevelType w:val="multilevel"/>
    <w:tmpl w:val="D136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E0"/>
    <w:rsid w:val="00134AE0"/>
    <w:rsid w:val="00E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E7BC3-9DD2-4B5D-A1B1-1AC4C4C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17yVX+tn1DdKCi6CAJR4loJOw==">CgMxLjA4AHIhMWotclBFWlMtdGtscC1XSmdaR01HZnJqcnlTSWJnRmds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2025-05-29T09:13:00Z</dcterms:created>
  <dcterms:modified xsi:type="dcterms:W3CDTF">2025-05-29T09:13:00Z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