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F9" w:rsidRDefault="008E0C7A">
      <w:pPr>
        <w:pStyle w:val="Standard"/>
        <w:suppressAutoHyphens w:val="0"/>
        <w:jc w:val="center"/>
      </w:pPr>
      <w:r>
        <w:rPr>
          <w:rFonts w:ascii="Times New Roman" w:eastAsia="Times New Roman" w:hAnsi="Times New Roman" w:cs="Times New Roman"/>
          <w:b/>
          <w:color w:val="0F2DAD"/>
          <w:sz w:val="32"/>
          <w:szCs w:val="32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800000"/>
          <w:sz w:val="32"/>
          <w:szCs w:val="32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</w:t>
      </w:r>
    </w:p>
    <w:p w:rsidR="001445F9" w:rsidRDefault="001445F9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45F9" w:rsidRDefault="001445F9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p w:rsidR="00CB755D" w:rsidRDefault="00CB755D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p w:rsidR="00CB755D" w:rsidRDefault="00CB755D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p w:rsidR="00CB755D" w:rsidRDefault="00CB755D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p w:rsidR="00CB755D" w:rsidRDefault="00CB755D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p w:rsidR="00CB755D" w:rsidRDefault="00CB755D">
      <w:pPr>
        <w:pStyle w:val="Standard"/>
        <w:spacing w:line="240" w:lineRule="auto"/>
        <w:jc w:val="right"/>
        <w:rPr>
          <w:color w:val="000000"/>
          <w:sz w:val="28"/>
          <w:szCs w:val="28"/>
          <w:lang w:val="uk-UA"/>
        </w:rPr>
      </w:pPr>
    </w:p>
    <w:tbl>
      <w:tblPr>
        <w:tblW w:w="63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5"/>
      </w:tblGrid>
      <w:tr w:rsidR="001445F9" w:rsidTr="00CB755D">
        <w:trPr>
          <w:trHeight w:val="1060"/>
        </w:trPr>
        <w:tc>
          <w:tcPr>
            <w:tcW w:w="63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45F9" w:rsidRPr="00CB755D" w:rsidRDefault="008E0C7A" w:rsidP="00CB755D">
            <w:pPr>
              <w:pStyle w:val="Standard"/>
              <w:spacing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Про затвердження завдання на розроблення комплексного плану просторового розвитку території Авангардівської селищної територіальної громади</w:t>
            </w:r>
          </w:p>
        </w:tc>
      </w:tr>
    </w:tbl>
    <w:p w:rsidR="001445F9" w:rsidRPr="00CB755D" w:rsidRDefault="001445F9">
      <w:pPr>
        <w:pStyle w:val="31"/>
        <w:ind w:right="-1"/>
        <w:jc w:val="both"/>
        <w:rPr>
          <w:color w:val="000000"/>
          <w:sz w:val="16"/>
          <w:szCs w:val="16"/>
          <w:lang w:val="ru-RU" w:eastAsia="ru-RU"/>
        </w:rPr>
      </w:pPr>
      <w:bookmarkStart w:id="0" w:name="n225"/>
      <w:bookmarkStart w:id="1" w:name="Bookmark1"/>
      <w:bookmarkStart w:id="2" w:name="Bookmark"/>
      <w:bookmarkEnd w:id="0"/>
      <w:bookmarkEnd w:id="1"/>
      <w:bookmarkEnd w:id="2"/>
    </w:p>
    <w:p w:rsidR="001445F9" w:rsidRPr="00CB755D" w:rsidRDefault="008E0C7A" w:rsidP="00CB755D">
      <w:pPr>
        <w:pStyle w:val="31"/>
        <w:ind w:right="-1" w:firstLine="709"/>
        <w:jc w:val="both"/>
      </w:pPr>
      <w:r>
        <w:rPr>
          <w:color w:val="000000"/>
          <w:sz w:val="28"/>
          <w:szCs w:val="28"/>
          <w:lang w:eastAsia="ru-RU"/>
        </w:rPr>
        <w:t xml:space="preserve">Відповідно до </w:t>
      </w:r>
      <w:r w:rsidR="00177408">
        <w:rPr>
          <w:color w:val="000000"/>
          <w:sz w:val="28"/>
          <w:szCs w:val="28"/>
          <w:lang w:eastAsia="ru-RU"/>
        </w:rPr>
        <w:t xml:space="preserve">норм ст.ст. 10, 25, 26, 59 </w:t>
      </w:r>
      <w:r>
        <w:rPr>
          <w:color w:val="000000"/>
          <w:sz w:val="28"/>
          <w:szCs w:val="28"/>
          <w:lang w:eastAsia="ru-RU"/>
        </w:rPr>
        <w:t xml:space="preserve">Закону України «Про місцеве самоврядування в Україні», ст. 17 Закону України «Про основи містобудування», ст. ст. </w:t>
      </w:r>
      <w:r>
        <w:rPr>
          <w:bCs/>
          <w:color w:val="000000"/>
          <w:sz w:val="28"/>
          <w:szCs w:val="28"/>
          <w:lang w:eastAsia="ru-RU"/>
        </w:rPr>
        <w:t>16</w:t>
      </w:r>
      <w:r>
        <w:rPr>
          <w:bCs/>
          <w:color w:val="000000"/>
          <w:sz w:val="28"/>
          <w:szCs w:val="28"/>
          <w:vertAlign w:val="superscript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, 20, 21 Закону України «Про регулювання містобудівної діяльності», ст. 45</w:t>
      </w:r>
      <w:r>
        <w:rPr>
          <w:color w:val="000000"/>
          <w:sz w:val="28"/>
          <w:szCs w:val="28"/>
          <w:vertAlign w:val="superscript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 Закону України «Про землеустрій», Порядку розроблення, оновлення, внесення змін та затвердження містобудівної документації, затвердженого Постановою Кабінету Міністрів України № 926 від 01.09.2021, на виконання рішення Авангардівської селищної ради </w:t>
      </w:r>
      <w:r w:rsidR="00177408">
        <w:rPr>
          <w:color w:val="000000"/>
          <w:sz w:val="28"/>
          <w:szCs w:val="28"/>
          <w:lang w:eastAsia="ru-RU"/>
        </w:rPr>
        <w:t xml:space="preserve">Одеського району Одеської області </w:t>
      </w:r>
      <w:r>
        <w:rPr>
          <w:color w:val="000000"/>
          <w:sz w:val="28"/>
          <w:szCs w:val="28"/>
          <w:lang w:eastAsia="ru-RU"/>
        </w:rPr>
        <w:t>від 22.05.2025 № 3592-VIII «</w:t>
      </w:r>
      <w:r>
        <w:rPr>
          <w:bCs/>
          <w:sz w:val="28"/>
          <w:szCs w:val="28"/>
          <w:lang w:eastAsia="uk-UA"/>
        </w:rPr>
        <w:t>Про внесення змін до рішення Аванга</w:t>
      </w:r>
      <w:r w:rsidR="00177408">
        <w:rPr>
          <w:bCs/>
          <w:sz w:val="28"/>
          <w:szCs w:val="28"/>
          <w:lang w:eastAsia="uk-UA"/>
        </w:rPr>
        <w:t>р</w:t>
      </w:r>
      <w:r>
        <w:rPr>
          <w:bCs/>
          <w:sz w:val="28"/>
          <w:szCs w:val="28"/>
          <w:lang w:eastAsia="uk-UA"/>
        </w:rPr>
        <w:t>дівської селищної ради № 737-</w:t>
      </w:r>
      <w:r>
        <w:rPr>
          <w:bCs/>
          <w:sz w:val="28"/>
          <w:szCs w:val="28"/>
          <w:lang w:val="en-US" w:eastAsia="uk-UA"/>
        </w:rPr>
        <w:t>V</w:t>
      </w:r>
      <w:r>
        <w:rPr>
          <w:bCs/>
          <w:sz w:val="28"/>
          <w:szCs w:val="28"/>
          <w:lang w:eastAsia="uk-UA"/>
        </w:rPr>
        <w:t xml:space="preserve">ІІІ від 12.08.2021  </w:t>
      </w:r>
      <w:r>
        <w:rPr>
          <w:bCs/>
          <w:sz w:val="28"/>
          <w:szCs w:val="28"/>
          <w:lang w:eastAsia="ru-RU"/>
        </w:rPr>
        <w:t>«Про</w:t>
      </w:r>
      <w:r>
        <w:rPr>
          <w:bCs/>
          <w:sz w:val="28"/>
          <w:szCs w:val="28"/>
          <w:lang w:eastAsia="uk-UA"/>
        </w:rPr>
        <w:t xml:space="preserve"> розроблення комплексного плану просторового розвитку території Авангардівської селищної територіальної громади</w:t>
      </w:r>
      <w:r>
        <w:rPr>
          <w:bCs/>
          <w:sz w:val="28"/>
          <w:szCs w:val="28"/>
          <w:lang w:eastAsia="ru-RU"/>
        </w:rPr>
        <w:t>»»</w:t>
      </w:r>
      <w:r>
        <w:rPr>
          <w:color w:val="000000"/>
          <w:sz w:val="28"/>
          <w:szCs w:val="28"/>
          <w:lang w:eastAsia="ru-RU"/>
        </w:rPr>
        <w:t>, враховуючи протокол №</w:t>
      </w:r>
      <w:r w:rsidR="0017740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5 Робочої групи з формування завдання на розроблення Комплексного плану просторового розвитку території Авангардівської селищної територіальної громади від 21.10.2025 та протокол </w:t>
      </w:r>
      <w:r w:rsidR="00177408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тратегічної сесії від 03.10.2025, враховуючи </w:t>
      </w:r>
      <w:r w:rsidR="00177408">
        <w:rPr>
          <w:color w:val="000000"/>
          <w:sz w:val="28"/>
          <w:szCs w:val="28"/>
          <w:lang w:eastAsia="ru-RU"/>
        </w:rPr>
        <w:t>рекомендації</w:t>
      </w:r>
      <w:r>
        <w:rPr>
          <w:color w:val="000000"/>
          <w:sz w:val="28"/>
          <w:szCs w:val="28"/>
          <w:lang w:eastAsia="ru-RU"/>
        </w:rPr>
        <w:t xml:space="preserve"> постійної комісії з питань комунальної власності, житлово-комунального господарства, благоустрою, планування території, будівництва, архітектури, енергозбереження та транспорту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діючи </w:t>
      </w:r>
      <w:r>
        <w:rPr>
          <w:color w:val="000000"/>
          <w:sz w:val="28"/>
          <w:szCs w:val="28"/>
        </w:rPr>
        <w:t xml:space="preserve">в інтересах територіальної громади з урахуванням державних, громадських та приватних інтересів, </w:t>
      </w:r>
      <w:r>
        <w:rPr>
          <w:color w:val="000000"/>
          <w:sz w:val="28"/>
          <w:szCs w:val="28"/>
          <w:lang w:eastAsia="ru-RU"/>
        </w:rPr>
        <w:t xml:space="preserve">Авангардівська селищна рада </w:t>
      </w:r>
      <w:r w:rsidR="00177408">
        <w:rPr>
          <w:b/>
          <w:color w:val="000000"/>
          <w:sz w:val="28"/>
          <w:szCs w:val="28"/>
          <w:lang w:eastAsia="ru-RU"/>
        </w:rPr>
        <w:t>ВИРІШИЛА</w:t>
      </w:r>
      <w:r>
        <w:rPr>
          <w:color w:val="000000"/>
          <w:sz w:val="28"/>
          <w:szCs w:val="28"/>
          <w:lang w:eastAsia="ru-RU"/>
        </w:rPr>
        <w:t>:</w:t>
      </w:r>
    </w:p>
    <w:p w:rsidR="001445F9" w:rsidRDefault="008E0C7A">
      <w:pPr>
        <w:pStyle w:val="Standard"/>
        <w:tabs>
          <w:tab w:val="left" w:pos="567"/>
          <w:tab w:val="left" w:pos="524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 Затвердити Завдання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розроблення </w:t>
      </w:r>
      <w:r w:rsidR="009203A6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комплексного плану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просторового розвитку території Авангардівської селищної територіальної громади»,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згідно додатку </w:t>
      </w:r>
      <w:r w:rsidR="0017740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 до цього рішення.</w:t>
      </w:r>
    </w:p>
    <w:p w:rsidR="001445F9" w:rsidRPr="00CB755D" w:rsidRDefault="008E0C7A" w:rsidP="00CB755D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Контроль за виконанням цього рішення покласти на постійну комісію Авангардівської селищної ради, з питань комунальної власності, житлово-комунального господарства, благоустрою, планування території, будівництва, архітектури, енергозбереження та транспорту.</w:t>
      </w:r>
    </w:p>
    <w:p w:rsidR="00CB755D" w:rsidRDefault="00CB755D" w:rsidP="00CB755D">
      <w:pPr>
        <w:pStyle w:val="Standard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1445F9" w:rsidRDefault="008E0C7A" w:rsidP="00CB755D">
      <w:pPr>
        <w:pStyle w:val="Standard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                                                         Сергій ХРУСТОВСЬКИЙ</w:t>
      </w:r>
    </w:p>
    <w:p w:rsidR="001445F9" w:rsidRDefault="008E0C7A">
      <w:pPr>
        <w:pStyle w:val="31"/>
        <w:ind w:right="-1"/>
        <w:jc w:val="both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№ </w:t>
      </w:r>
      <w:r w:rsidR="00177408">
        <w:rPr>
          <w:b/>
          <w:color w:val="000000"/>
          <w:sz w:val="26"/>
          <w:szCs w:val="26"/>
          <w:lang w:eastAsia="ru-RU"/>
        </w:rPr>
        <w:t>3893</w:t>
      </w:r>
      <w:r>
        <w:rPr>
          <w:b/>
          <w:color w:val="000000"/>
          <w:sz w:val="26"/>
          <w:szCs w:val="26"/>
          <w:lang w:eastAsia="ru-RU"/>
        </w:rPr>
        <w:t>-VІІІ</w:t>
      </w:r>
    </w:p>
    <w:p w:rsidR="001445F9" w:rsidRDefault="008E0C7A">
      <w:pPr>
        <w:pStyle w:val="31"/>
        <w:ind w:right="-1"/>
        <w:jc w:val="both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>від 23.10.2025</w:t>
      </w:r>
    </w:p>
    <w:p w:rsidR="00791D59" w:rsidRDefault="00791D59">
      <w:pPr>
        <w:pStyle w:val="31"/>
        <w:ind w:right="-1"/>
        <w:jc w:val="both"/>
        <w:rPr>
          <w:b/>
          <w:color w:val="000000"/>
          <w:sz w:val="26"/>
          <w:szCs w:val="26"/>
          <w:lang w:eastAsia="ru-RU"/>
        </w:rPr>
      </w:pPr>
    </w:p>
    <w:p w:rsidR="00791D59" w:rsidRDefault="00791D59">
      <w:pPr>
        <w:pStyle w:val="31"/>
        <w:ind w:right="-1"/>
        <w:jc w:val="both"/>
        <w:rPr>
          <w:b/>
          <w:color w:val="000000"/>
          <w:sz w:val="26"/>
          <w:szCs w:val="26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</w:tblGrid>
      <w:tr w:rsidR="00791D59" w:rsidRPr="00791D59" w:rsidTr="00791D59">
        <w:trPr>
          <w:trHeight w:val="983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Додаток 1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 рішення сесії Авангардівської селищної ради </w:t>
            </w:r>
          </w:p>
          <w:p w:rsidR="00791D59" w:rsidRPr="00177408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від «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uk-UA" w:eastAsia="ru-RU"/>
              </w:rPr>
              <w:t>23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»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uk-UA" w:eastAsia="ru-RU"/>
              </w:rPr>
              <w:t>жовтня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2025 року № </w:t>
            </w:r>
            <w:r w:rsidR="0017740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3893-</w:t>
            </w:r>
            <w:r w:rsidR="0017740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VIII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</w:tbl>
    <w:p w:rsidR="00791D59" w:rsidRPr="00791D59" w:rsidRDefault="00791D59" w:rsidP="00791D5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</w:p>
    <w:p w:rsidR="00791D59" w:rsidRPr="00791D59" w:rsidRDefault="00791D59" w:rsidP="00791D5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  <w:r w:rsidRPr="00791D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 w:eastAsia="ru-RU"/>
        </w:rPr>
        <w:t xml:space="preserve">ЗАВДАННЯ </w:t>
      </w:r>
      <w:r w:rsidRPr="00791D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 w:eastAsia="ru-RU"/>
        </w:rPr>
        <w:br/>
        <w:t>на розроблення комплексного плану просторового розвитку території </w:t>
      </w:r>
    </w:p>
    <w:p w:rsidR="00791D59" w:rsidRPr="00791D59" w:rsidRDefault="00791D59" w:rsidP="00791D5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  <w:r w:rsidRPr="00791D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 w:eastAsia="ru-RU"/>
        </w:rPr>
        <w:t>Авангардівської селищної територіальної громади </w:t>
      </w:r>
    </w:p>
    <w:p w:rsidR="00791D59" w:rsidRPr="00791D59" w:rsidRDefault="00791D59" w:rsidP="00791D5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560"/>
        <w:gridCol w:w="6605"/>
      </w:tblGrid>
      <w:tr w:rsidR="00791D59" w:rsidRPr="00791D59" w:rsidTr="00791D59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Вид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Комплексний план просторового розвитку території територіальної громади</w:t>
            </w:r>
          </w:p>
        </w:tc>
      </w:tr>
      <w:tr w:rsidR="00791D59" w:rsidRPr="00CB755D" w:rsidTr="00791D59">
        <w:trPr>
          <w:trHeight w:val="4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Підстава для проектування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Рішення Авангардівської селищної  ради №737-VIII  від 12 серпня 2021 року «Про розроблення комплексного плану просторового розвитку території Авангардівської селищної територіальної громади» (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додається)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Рішення Авангардівської селищної  ради №994-VIII  від 3 грудня 2021 року «Про внесення змін до рішення Авангардівської селищної ради №737-VIII  ««Про розроблення комплексного плану просторового розвитку території Авангардівської селищної територіальної громади»»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(додається)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3. Рішення Авангардівської селищної  ради №3592-VIII від 22 травня 2025 року «Про внесення змін до рішення Авангардівської селищної ради № 737-VІІІ від 12.08.2021 року «Про розроблення комплексного плану просторового розвитку території Авангардівської селищної територіальної громади»»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(додається)</w:t>
            </w:r>
          </w:p>
        </w:tc>
      </w:tr>
      <w:tr w:rsidR="00791D59" w:rsidRPr="00791D59" w:rsidTr="00791D59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Замовник розроблення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Виконавчий комітет</w:t>
            </w:r>
            <w:r w:rsidRPr="00791D59">
              <w:rPr>
                <w:rFonts w:eastAsia="Times New Roman"/>
                <w:color w:val="000000"/>
                <w:kern w:val="0"/>
                <w:lang w:val="uk-UA" w:eastAsia="ru-RU"/>
              </w:rPr>
              <w:t xml:space="preserve"> 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Авангардівської селищної ради</w:t>
            </w:r>
          </w:p>
        </w:tc>
      </w:tr>
      <w:tr w:rsidR="00791D59" w:rsidRPr="00791D59" w:rsidTr="00791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Назва території територіальної громади розроблення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Авангардівська селищна територіальна громада Одеського району Одеської області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UA51100010000023950</w:t>
            </w:r>
          </w:p>
        </w:tc>
      </w:tr>
      <w:tr w:rsidR="00791D59" w:rsidRPr="00791D59" w:rsidTr="00791D59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Площа території проектування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Орієнтовна - 7387 га</w:t>
            </w:r>
          </w:p>
        </w:tc>
      </w:tr>
      <w:tr w:rsidR="00791D59" w:rsidRPr="00791D59" w:rsidTr="00791D59">
        <w:trPr>
          <w:trHeight w:val="1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Строк розроблення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Згідно з календарним планом та укладеним договором.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Роки реалізації: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короткостроковий період – до 5 років;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середньостроковий період – до 10 років;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довгострокова перспектива –  більше 10 років</w:t>
            </w:r>
          </w:p>
        </w:tc>
      </w:tr>
      <w:tr w:rsidR="00791D59" w:rsidRPr="00CB755D" w:rsidTr="00791D59">
        <w:trPr>
          <w:trHeight w:val="3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наявних вихідних даних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Відомості щодо державних інтересів та інтересів суміжних територіальних громад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(додається).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Дані щодо кількості населення та площі населених пунктів громади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(додається).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7"/>
              </w:numPr>
              <w:suppressAutoHyphens w:val="0"/>
              <w:autoSpaceDN/>
              <w:spacing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затверджених документів державного планування, положення яких мають бути враховані при розробленні Комплексного плану просторового розвитку території Авангардівської селищної територіальної громади Одеського району Одеської області: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Схема планування території Одеської області та Схеми планування територій курортно-оздоровчого та рекреаційного призначення Одеської області, розроблені проєктним інститутом ДП УДНДІП “Діпромісто” та затверджені рішенням Одеської обласної ради від 24 квітня 2013 року №775-VI;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8"/>
              </w:numPr>
              <w:suppressAutoHyphens w:val="0"/>
              <w:autoSpaceDN/>
              <w:spacing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Схема планування території Овідіопольського району, що затверджена Овідіопольською районною радою від 20.03.2015 року №767-VI;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Програма охорони навколишнього природного середовища на 2025 рік, затверджена рішенням Авангардівської селищної ради №3299-VIII від 20.12.2024;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  <w:r w:rsidRPr="00791D59">
              <w:rPr>
                <w:rFonts w:eastAsia="Times New Roman"/>
                <w:color w:val="000000"/>
                <w:kern w:val="0"/>
                <w:lang w:val="uk-UA" w:eastAsia="ru-RU"/>
              </w:rPr>
              <w:t> 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Програма поводження з відходами на території Авангардівської селищної територіальної громади на 2025 рік, затверджена рішенням Авангардівської селищної ради №3269-VIII від 20.12.2024;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Стратегія розвитку Авангардівської громади на 2020-2027 роки.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раніше розробленої містобудівної та землевпорядної документації, в тому числі актуальної містобудівної документації та незатверджених проектів: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«Генеральний план смт. Хлібодарське та селища Радісне» (затверджений рішенням Хлібодарської селищної ради від 06.05.2008 року № 470-V);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«Генеральний план с. Нова Долина, Овідіопольського района Одеської області»  (затверджений рішенням Новодолинської сільської ради від 22.08.2008 року № 283-ІІІ);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«Детальний план частини території смт. Авангард для розміщення багатофункціонального комплексу з водними атракціонами та гостьовими парковками» (затверджений рішенням Авангардівської селищної ради № 574-V від 25.10.2012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«Генеральний план смт. Авангард Овідіопольського району Одеської області» (затверджений рішенням Авангардівської селищної ради від 24.03.2015 року № 1265-V);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«План зонування (зонінг) частин території смт Авангард Овідіопольського району Одеської області, обмеженої вулицями: Торгова, В. Спрейса, Європейська, Крайня» та  «План зонування (зонінг) частин території смт Авангард Овідіопольського району Одеської області, обмеженої вулицями: Центральна, Тиха, Добрянського, Фруктова»  (затверджені рішенням Авангардівської селищної ради від 18.02.2016 року за № 141-VІ);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 «Детальний план території земельних ділянок, загальною площею 0.3199 га, з метою розміщення станції технічного обслуговування автомобілів за адресою: с. Прилиманське, вул. Оборонна, діл. № 44-Ж, № 44-М, Овідіопольського району Одеської області» (затверджений рішенням Прилиманської сільської ради № 253-VІІ від 16.09.2016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«Детальний план частини території смт Авангард для розміщення об’єктів житлової та громадської забудови за адресою: Одеська область, Овідіопольський район, смт Авангард, вул. Виноградна, 1» (затверджений рішенням Авангардівської селищної ради від 22.09.2016 року № 444-VІ);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території земельних ділянок ТОВ «Епіцентр К», загальною площею 11,2442 га, з метою уточнення планувальної структури та параметрів їх забудови, розташованих за адресою: Одеська область, Овідіопольський район, Авангардівська селищна рада, масив № 42, земельна ділянка № 213 та Авангардівська селищна рада вул. 7-км Овідіопольської дороги, № 1» (затверджений рішенням Авангардівської селищної ради від 01.12.2016 року № 520-VІ);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 для будівництва і обслуговування групи багатоквартирних житлових будинків і торгово-розважального центру за адресою: Одеська область, Овідіопольський район, Авангардівська селищна рада, масив № 10, ділянки 198/1, 198/2, 199/1, 199/2» (затверджений рішенням Авангардівської селищної ради № 683-VІ від 13.04.2017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  для розміщення об’єктів житлової та громадської забудови, обмеженої вулицями Нижня та Тиха» (затверджений рішенням Авангардівської селищної ради № 746-VІ від 25.05.2017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«План зонування (зонінг) частини території смт. Авангард Овідіопольського району, Одеської області, обмеженої вулицями Ангарська, Теплична та Фруктова» (затверджений рішенням Авангардівської селищної ради № 853-VI від 21.09.2017 року);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«Внесення змін до плану зонування (зонінг) частини території   смт Авангард Овідіопольського району Одеської області, обмеженої вулицями: Центральна, Тиха, Добрянського, Фруктова» (затверджений рішенням Авангардівської селищної ради від 31.10.2017 року за № 916-VІ);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території щодо внесення змін до детального плану частини території смт. Авангард для будівництва і обслуговування групи багатоквартирних житлових будинків і торгово-розважального центру за адресою: Одеська область, Овідіопольський район, Авангардівська селищна рада, масив 10, ділянки 198/1, 198/2, 199/1, 199/2» (затверджений рішенням Авангардівської селищної ради № 396-VІІ від 24.05.2018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«Детальний план частини території смт. Авангард для розміщення об’єктів житлової та громадської забудови, обмеженої вулицями Європейська, Крайня, Южна та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землями ТОВ «ВАЛЕНТИНА Д»» (затверджений рішенням Авангардівської селищної ради № 463-VІІ від 10.07.2018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Авангардівської селищної ради, яка розташована за адресою: масив № 15, ділянки №№ 255/2б, 255/2в,  Авангардівська селищна рада, Овідіопольського району Одеської області (за межами населених пунктів)» (затверджений розпорядженням Овідіопольської райдержадміністрації від 12.07.2018 року № 393/А-2018);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території земельних ділянок під розміщення виробництва іншої неметалевої мінеральної продукції» (затверджений рішенням Хлібодарської селищної ради № 585-VІІ від 24.05.2019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території орієнтовною площею 0,3000 га ТОВ «Агроінтер 2017» для розміщення окремого об’єкту (офіс) містобудування з інженерно-транспортною інфраструктурою, за адресою: Одеська область, Біляївський район, Хлібодарська селищна рада, смт. Хлібодарське, вул. Тираспільске шосе 41-б (в межах н.п.)» (затверджений рішенням Хлібодарської селищної ради № 608-VІІ від 19.07.2019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 для розміщення торгівельних, виробничо-складських будівель та споруд, автотранспортного підприємства, обмеженої вул. Ангарська та пров. Степовий» (затверджений рішенням Авангардівської селищної ради № 55-VІІІ від 25.11.2020 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Авангард, Овідіопольського району, Одеської області для розміщення об’єкту логістики та виставково-тюнінгового центру із супутніми об’єктами обслуговування за адресою: Одеська область, Овідіопольський район, смт. Авангард, вул. Ангарська, 64, 66» (затверджений рішенням Авангардівської селищної ради № 54-VІІІ від 25.11.2020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 для розміщення об'єктів житлової та громадської забудови за адресою: Одеська область, Одесь-кий район, Авангардівська селищна рада, масив 10, ділянки 170/1, 170/2, 171/1, 171/2, масив 40, ділянки №№ 165, 166» (затверджений рішенням Авангардівської селищної ради № 893-VІІІ від 23.10.2021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смт. Авангард, Одеського району, Одеської області, для розміщення об’єктів житлової та громадської забудови, обмеженої вулицями Ангарська, Теплична та Фруктова» (затверджений рішенням Авангардівської селищної ради № 1245-VІІІ від 27.05.2022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«Генеральний план та план зонування території села Прилиманське,  Одеського  району Одеської області» (затверджений рішенням Авангардівської селищної ради від 27.01.2023 року  № 1691-VІІІ);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«Детальний план частини території с-ща Хлібодарське та с-ща Радісне  Одеського району, Одеської області (в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межах та за межами населених пунктів)» (затверджений рішенням Авангардівської селищної ради № 2889-VІІІ від 19.06.2024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Авангардівської селищної територіальної громади, Одеського району, Одеської області, для розміщення об’єктів комерційного, торгово-логістичного (логістичний  центр) та складського призначення», в межах земель за кодом КОАТУУ 5123755200» (затверджений рішенням Авангардівської селищної ради № 3103-VІІІ від 24.10.2024 року);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Авангардівської селищної громади Одеського району Одеської області, для розміщення об’єктів логістичного та складського призначення, об’єктів дорожнього сервісу, торгово та комерційного призначення, в межах земель за кодом КОАТУУ 5123755200» (затверджений рішенням Авангардівської селищної ради №3809-VIII від 21.08.2025);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«Детальний план частини території селища Авангард Одеського району Одеської області для розміщення та будівництва об’єктів дорожнього сервісу (в межах земельних ділянок, за кадастровими номерами 5123755200:02:001:1271; 5123755200:02:001:1097) (затверджений рішенням Авангардівської селищної ради №3808- VIII від 21.08.2025).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виданих містобудівних умов і обмежень за період 2022-2025 років.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об’єктів культурної спадщини на території ТГ (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додається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).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3"/>
              </w:numPr>
              <w:suppressAutoHyphens w:val="0"/>
              <w:autoSpaceDN/>
              <w:spacing w:line="240" w:lineRule="auto"/>
              <w:ind w:left="6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У повному обсязі вихідні дані надаються розробнику після укладення договору про закупівлю за допомогою інструментарію геопорталу Містобудівного кадастру на державному рівні), згідно пункту 42 Постанови КМУ № 926 від 1 вересня 2021 року. У разі потреби під час розроблення містобудівної документації такі вихідні дані можуть бути доповнені та уточнені</w:t>
            </w:r>
          </w:p>
        </w:tc>
      </w:tr>
      <w:tr w:rsidR="00791D59" w:rsidRPr="00791D59" w:rsidTr="00791D59">
        <w:trPr>
          <w:trHeight w:val="3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Відомості про картографічну основу у цифровому форматі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У якості вихідної топографічної основи для розроблення Комплексного плану використовується топографо-геодезична зйомка масштабу 1:10 000 (2023 р.) у форматах *.dmf, *.shp, *.pdf — актуальна.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Топозйомка масштабу 1:2000 потребує оновлення для населених пунктів: Прилиманське, Авангард, Нова Долина (актуалізація ситуації, інженерних мереж, транспортної інфраструктури та меж землекористувань).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Виконання зазначеного оновлення М 1:2000 здійснюється за окремим договором під час розроблення Комплексного плану.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Для населених пунктів Хлібодарське та Радісне наявна топозйомка 1:2000 (2024 р.), вважається актуальною та використовується без оновлення</w:t>
            </w:r>
          </w:p>
        </w:tc>
      </w:tr>
      <w:tr w:rsidR="00791D59" w:rsidRPr="00CB755D" w:rsidTr="00791D59">
        <w:trPr>
          <w:trHeight w:val="1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Матеріали громадських обговорень з формування завдання на розроблення проекту містобудівної документації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Протокол Стратегічної сесії громадських обговорень з формування завдання на розроблення Комплексного плану просторового розвитку території Авангардівської селищної територіальної громади Одеського району Одеської області від 21 жовтня 2025 року з матеріалами напрацювань Робочої групи та реєстром пропозицій громадськості (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додається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)</w:t>
            </w:r>
          </w:p>
        </w:tc>
      </w:tr>
      <w:tr w:rsidR="00791D59" w:rsidRPr="00791D59" w:rsidTr="00791D59">
        <w:trPr>
          <w:trHeight w:val="1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Містобудівна документація, що має бути розроблена у складі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1. Генеральний план населеного пункту селища Авангард.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2. Генеральний план населеного пункту селища Хлібодарське.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3. Генеральний план населеного пункту села Прилиманське.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4. Генеральний план населеного пункту села Нова Долина.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br/>
              <w:t>5. Генеральний план населеного пункту селища</w:t>
            </w:r>
            <w:r w:rsidRPr="00791D59">
              <w:rPr>
                <w:rFonts w:eastAsia="Times New Roman"/>
                <w:color w:val="000000"/>
                <w:kern w:val="0"/>
                <w:lang w:val="uk-UA" w:eastAsia="ru-RU"/>
              </w:rPr>
              <w:t xml:space="preserve">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Радісне</w:t>
            </w:r>
          </w:p>
        </w:tc>
      </w:tr>
      <w:tr w:rsidR="00791D59" w:rsidRPr="00791D59" w:rsidTr="00791D59">
        <w:trPr>
          <w:trHeight w:val="1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Завдання на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розроблення історико-архітектурного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опорного плану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населеного пункту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Не передбачається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91D59" w:rsidRPr="00791D59" w:rsidTr="00791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населених пунктів, щодо яких передбачається розроблення планувальних рішень генеральних планів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Не передбачається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91D59" w:rsidRPr="00791D59" w:rsidTr="00791D59">
        <w:trPr>
          <w:trHeight w:val="8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планувальних рішень детальних планів територій, на яких передбачається розміщення: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за рахунок державного або місцевого бюджету: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4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об’єктів соціальної інфраструктури (освіти, охорони здоров’я, культури, житлово-комунального господарства):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заклад дошкільної та загальної середньої освіти (ЗДО, ЗЗСО) в селі Нова Долина (орієнтовна площа – 1,8 га);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заклад загальної середньої освіти селище Авангард (орієнтовна площа – 2,6 га);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заклад дошкільної та загальної середньої освіти (ЗДО, ЗЗСО)  села Прилиманське (орієнтовна площа - 1,8 га);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заклад охорони здоров’я – лікарня в селищі Авангард (орієнтовна площа – 4,5 га);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заклад охорони здоров’я – амбулаторія в селі Нова Долина (орієнтовна площа – 1,0га) та в селищі Авангард (орієнтовна площа – 2 га);</w:t>
            </w:r>
            <w:r w:rsidRPr="00791D59">
              <w:rPr>
                <w:rFonts w:eastAsia="Times New Roman"/>
                <w:color w:val="000000"/>
                <w:kern w:val="0"/>
                <w:lang w:val="uk-UA" w:eastAsia="ru-RU"/>
              </w:rPr>
              <w:t>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реабілітаційний заклад для військових в селі Прилиманське (орієнтовна площа – 5,0 га);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центр безпеки громадян села Нова Долина (орієнтовна площа – 0,5 га).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реабілітаційний заклад для військових в селище Авангард (орієнтовна площа – 5,0 га);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-об’єктів, передбачених </w:t>
            </w:r>
            <w:hyperlink r:id="rId7" w:history="1">
              <w:r w:rsidRPr="00791D59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val="uk-UA" w:eastAsia="ru-RU"/>
                </w:rPr>
                <w:t>Генеральною схемою планування території України</w:t>
              </w:r>
            </w:hyperlink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 та схемою планування області чи району: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не передбачається.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- об’єктів, для розташування яких відповідно до закону може здійснюватися примусове відчуження земельних ділянок з мотивів суспільної необхідності: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не передбачається;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-інших об’єктів, визначених замовником у завданні: </w:t>
            </w: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не передбачається.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uk-UA" w:eastAsia="ru-RU"/>
              </w:rPr>
              <w:t>Схема переліку планувальних рішень детальних планів територій додається</w:t>
            </w:r>
          </w:p>
        </w:tc>
      </w:tr>
      <w:tr w:rsidR="00791D59" w:rsidRPr="00791D59" w:rsidTr="00791D5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14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проектних рішень, які необхідно передбачити під час розроблення містобудівної документації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24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  <w:r w:rsidRPr="00791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Проєктними рішеннями Комплексного плану мають бути сформовані умови для: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6"/>
              </w:numPr>
              <w:suppressAutoHyphens w:val="0"/>
              <w:autoSpaceDN/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Формування інвестиційно-привабливої території за рахунок гармонійного поєднання динамічного промислово-логістичного розвитку зі збереженням природної і культурної спадщини.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2. Реалізації проєктних рішень щодо: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визначення напрямів сталого розвитку населених пунктів та їх перспективної чисельності населення;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адаптації територій до змін клімату з метою підвищення їх стійкості;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створення та упорядкування рекреаційних та озеленених територій;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визначення та зміна меж населених пунктів;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упорядкування існуючої (в тому числі: обмеження багатоквартирної житлової забудови в межах чинної і тієї, що вже розробляється, містобудівної документації) та створення нової сельбищних територій;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визначення розмірів прибережних захисних смуг та водоохоронних зон об’єктів водного фонду, на які не розроблені та незатверджені відповідні проекти землеустрою;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передбачити розчистку та поглиблення водних об’єктів;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визначення територій, перспективних для розширення нової житлової, громадської забудови тощо;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- підвищення економічної спроможності громади на засадах реіндустріалізації та реалізації унікальних можливостей використання існуючих та розбудови нових виробничо-складських територій;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розвитку територій об’єктів дорожньої інфраструктури, об’єктів придорожнього сервісу транспортних підприємств, транспортно-пересадочного вузла з будівництвом автостанції та логістичних об’єктів, врахувати розвиток електричного виду транспорту та супутньої інфраструктури, улаштування пішохідних переходів через автодороги міжнародного значення;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розвитку об’єктів альтернативної енергетики (СЕС, водневі та біогазові станції тощо);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оптимізації транспортної (в тому числі: реконструкція автодоріг, завершення будівництва обхідної дороги «Обхід с. Сухий Лиман» та будівництво нових місцевих автодоріг, будівництво автостанції, оптимізація напрямків руху громадського транспорту)  та інженерної інфраструктури (в тому числі: енергоефективність, будівництво об’єктів та розбудова мережі з очищення стічних стоків та розбудова мережі електропостачання, водопостачання (в тому числі визначення місць для розміщення бюветних комплексів з питною водою) тощо);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розвитку велоінфраструктури та безбар’єрних маршрутів;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формування інженерного благоустрою територій та вирішення питання поводження з відходами, враховуючи   існуюче розташування об’єкту (село Нова Долина);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формування екологічно чистих рекреаційних зон, озеленених територій та територій туристичної інфраструктури задля підвищення туристичної привабливості території;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підвищення рівнів доступності та якості соціальних послуг за рахунок розвитку мережі об’єктів соціальної інфраструктури, в тому числі: заклади охорони здоров’я, заклади освіти (в тому числі реконструкція (розширення) існуючих закладів ЗЗСО і ЗДО), реабілітаційні центри тощо;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створення оптимальної мережі культурно-розважальних хабів (в тому числі: музеї, кінотеатри тощо) та системи громадських просторів (в тому числі спортивної інфраструктури: спортивних центрів, майданчиків тощо) в межах територій населених пунктів.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3. Забезпечити належне врахування пропозицій з просторового розвитку Авангардівської селищної територіальної громади, підготовлених Робочою групою з формування завдання на розроблення Комплексного плану та висловлених громадськістю, у тому числі у ході Стратегічної сесії, з урахуванням фактичних умов розвитку території та діючих вимог нормативно-правових та нормативних актів України;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4. врахування інших заходів та програм;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5. та інші</w:t>
            </w:r>
          </w:p>
        </w:tc>
      </w:tr>
      <w:tr w:rsidR="00791D59" w:rsidRPr="00791D59" w:rsidTr="00791D5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 xml:space="preserve">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Формат електронних документів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Електронні документи комплексного плану та всіх його складових передаються у вигляді пакету файлів у форматі Lempel Zіv Welch (ZІP), засвідченого кваліфікованими електронними підписами відповідальних за розроблення комплексного плану архітектора, який має відповідний кваліфікаційний сертифікат, та сертифікованого інженера-землевпорядника.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 xml:space="preserve">Пакет файлів повинен містити повний набір геопросторових даних та метаданих документації баз геоданих, що передаються у форматі File Geodatabase (GDB), GeoPackage (GPKG) </w:t>
            </w: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або JavaScript Object Notation (GeoJSON) згідно із структурою, що визначається Міністерством розвитку громад та територій, набір відомостей, які відповідно до законодавства підлягають внесенню до Державного земельного кадастру, у форматі eXtensіble Маrkuр Language (XML), текстові, табличні та графічні матеріали документації у форматі Adobe Роrtаblе Document Fоrmаt (PDF).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Надані документи повинні у повній мірі відповідати вимогам постанови Кабінету Міністрів України від 9 червня 2021 р. №632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Створена база геоданих повинна повністю відповідати Наказу Мінрозвитку №56 від 22.02.2022 р. та пройти валідацію у відповідності до Постанови КМУ №909 від 9 серпня 2024 р.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Електронні документи Комплексного плану мають бути внесені до Містобудівного кадастру на державному рівні та Державного земельного кадастру відповідно до вимог чинного законодавства</w:t>
            </w:r>
          </w:p>
        </w:tc>
      </w:tr>
      <w:tr w:rsidR="00791D59" w:rsidRPr="00791D59" w:rsidTr="00791D59">
        <w:trPr>
          <w:trHeight w:val="5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додаткових текстових та графічних матеріалів або додаткові вимоги до змісту текстових чи графічних матеріалів, передбачені замовником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У разі наявності у складі комплексного плану матеріалів з обмеженим доступом (текстових та графічних):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матеріали формуються з двох частин: для публічного використання (всі дані, за виключенням інформації з обмеженим доступом) та для обмеженого користування (інформація з обмеженим доступом – у вигляді окремого файлу);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складаються переліки відомостей з обмеженим доступом та згідно до ч. 1 ст. 6 Закону України «Про доступ до публічної інформації» зазначаються підстави щодо встановлення обмеження доступу з посиланням на відповідні законодавчі акти.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Текстові та графічні матеріали містобудівної документації (друкований вигляд) передаються замовнику: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для проведення процедури стратегічної екологічної оцінки, громадських слухань та засідання архітектурно-містобудівної ради в 6 примірниках;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для затвердження комплексного плану – в 2 примірниках</w:t>
            </w:r>
          </w:p>
        </w:tc>
      </w:tr>
      <w:tr w:rsidR="00791D59" w:rsidRPr="00791D59" w:rsidTr="00791D5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Правовий режим здійснення майнових прав на містобудівну документацію після передачі її замовнику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Майнові права на містобудівну документацію – Комплексний план просторового розвитку території Авангардівської селищної територіальної громади Одеського району Одеської області після передачі Розробником переходять повністю виконавчому комітету Авангардівської селищної ради Одеського району Одеської області.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Після передачі документації Замовнику, Розробник втрачає право, без письмової згоди виконкому Авангардівської селищної ради передавати будь-які матеріали документації третім сторонам, крім випадків передбачених законодавством України</w:t>
            </w:r>
          </w:p>
        </w:tc>
      </w:tr>
      <w:tr w:rsidR="00791D59" w:rsidRPr="00791D59" w:rsidTr="00791D59">
        <w:trPr>
          <w:trHeight w:val="89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Перелік пропозицій щодо проектних показників розвитку території досягнення яких є метою реалізації проектних рішень містобудівної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1. Соціальна інфраструктура та громадські простори: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- частку мешканців громади, охоплених закладами сімейної медицини, збільшити до 100%;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37" w:hanging="42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2. Інженерна інфраструктура: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37" w:hanging="5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забезпечення централізованого водопостачання та водовідведення населених пунктів громади на 100%;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забезпечення очисними спорудами населені пункти громади на 100%;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 w:firstLine="3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3. Мобільність та транспорт: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 w:firstLine="3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будівництво додаткових автомобільних та залізничних шляхів;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створення велосипедних доріжок;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30"/>
              </w:numPr>
              <w:suppressAutoHyphens w:val="0"/>
              <w:autoSpaceDN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Туризм: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створення туристичних маршрутів для пішохідного та велосипедного туризму;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облаштування зон для короткострокового відпочинку;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31"/>
              </w:numPr>
              <w:suppressAutoHyphens w:val="0"/>
              <w:autoSpaceDN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Виробничий сектор: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4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підтримка та збільшення виробничих потужностей виробничих комплексів, виділення земельних ділянок для створення нових виробничих підприємств; 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Екологія: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ind w:left="73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створення меліоративної системи поливу;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будівництво сортувальної лінії глибокої переробки сміття у середньостроковий період – до 2035 року;</w:t>
            </w:r>
          </w:p>
          <w:p w:rsidR="00791D59" w:rsidRPr="00791D59" w:rsidRDefault="00791D59" w:rsidP="00791D59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Об’єкти цивільного захисту: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забезпечити належну кількість сховищ та укриттів на території громади (частку охоплених об'єктів соціальної сфери збільшити до 100%) в середньостроковій перспективі до 2035 року;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- забезпечити всі населені пункти громади системами оповіщення МАСЦО (100%) в короткостроковій перспективі до 2030 року</w:t>
            </w:r>
          </w:p>
        </w:tc>
      </w:tr>
      <w:tr w:rsidR="00791D59" w:rsidRPr="00791D59" w:rsidTr="00791D59">
        <w:trPr>
          <w:trHeight w:val="3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Додаткові вимоги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Стратегічна екологічна оцінка документу має передбачати післяпроектний моніторинг, враховувати екологічне право, відповідати нормативно-правовим актам у сфері екології та охорони навколишнього природного середовища, а також враховувати заходи щодо зеленої відбудови України.  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При розробці проектних рішень на перетині автомобільних доріг М-15 та М-16 в районі існуючої однорівневої розв’язки з умовною назвою «Два стовпи» застосувати транспортне моделювання.</w:t>
            </w:r>
          </w:p>
          <w:p w:rsidR="00791D59" w:rsidRPr="00791D59" w:rsidRDefault="00791D59" w:rsidP="00791D5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791D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Копію повного набору просторових даних та метаданих документації баз геоданих сформувати в форматі *.gpkg.</w:t>
            </w:r>
          </w:p>
        </w:tc>
      </w:tr>
    </w:tbl>
    <w:p w:rsidR="00791D59" w:rsidRPr="00791D59" w:rsidRDefault="00791D59" w:rsidP="00791D59">
      <w:pPr>
        <w:widowControl/>
        <w:suppressAutoHyphens w:val="0"/>
        <w:autoSpaceDN/>
        <w:spacing w:after="24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  <w:r w:rsidRPr="00791D5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br/>
      </w:r>
    </w:p>
    <w:p w:rsidR="00791D59" w:rsidRPr="00791D59" w:rsidRDefault="00CC4B84">
      <w:pPr>
        <w:pStyle w:val="31"/>
        <w:ind w:right="-1"/>
        <w:jc w:val="both"/>
        <w:rPr>
          <w:b/>
          <w:color w:val="000000"/>
          <w:sz w:val="26"/>
          <w:szCs w:val="26"/>
          <w:lang w:eastAsia="ru-RU"/>
        </w:rPr>
      </w:pPr>
      <w:bookmarkStart w:id="3" w:name="_GoBack"/>
      <w:r>
        <w:rPr>
          <w:b/>
          <w:color w:val="000000"/>
          <w:sz w:val="26"/>
          <w:szCs w:val="26"/>
          <w:lang w:eastAsia="ru-RU"/>
        </w:rPr>
        <w:t xml:space="preserve">Секретар селищної ради </w:t>
      </w:r>
      <w:r>
        <w:rPr>
          <w:b/>
          <w:color w:val="000000"/>
          <w:sz w:val="26"/>
          <w:szCs w:val="26"/>
          <w:lang w:eastAsia="ru-RU"/>
        </w:rPr>
        <w:tab/>
      </w:r>
      <w:r>
        <w:rPr>
          <w:b/>
          <w:color w:val="000000"/>
          <w:sz w:val="26"/>
          <w:szCs w:val="26"/>
          <w:lang w:eastAsia="ru-RU"/>
        </w:rPr>
        <w:tab/>
      </w:r>
      <w:r>
        <w:rPr>
          <w:b/>
          <w:color w:val="000000"/>
          <w:sz w:val="26"/>
          <w:szCs w:val="26"/>
          <w:lang w:eastAsia="ru-RU"/>
        </w:rPr>
        <w:tab/>
      </w:r>
      <w:r>
        <w:rPr>
          <w:b/>
          <w:color w:val="000000"/>
          <w:sz w:val="26"/>
          <w:szCs w:val="26"/>
          <w:lang w:eastAsia="ru-RU"/>
        </w:rPr>
        <w:tab/>
      </w:r>
      <w:r>
        <w:rPr>
          <w:b/>
          <w:color w:val="000000"/>
          <w:sz w:val="26"/>
          <w:szCs w:val="26"/>
          <w:lang w:eastAsia="ru-RU"/>
        </w:rPr>
        <w:tab/>
      </w:r>
      <w:r>
        <w:rPr>
          <w:b/>
          <w:color w:val="000000"/>
          <w:sz w:val="26"/>
          <w:szCs w:val="26"/>
          <w:lang w:eastAsia="ru-RU"/>
        </w:rPr>
        <w:tab/>
        <w:t>Валентина ЩУР</w:t>
      </w:r>
      <w:bookmarkEnd w:id="3"/>
    </w:p>
    <w:sectPr w:rsidR="00791D59" w:rsidRPr="00791D59" w:rsidSect="00CB755D">
      <w:pgSz w:w="11906" w:h="16838"/>
      <w:pgMar w:top="567" w:right="85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53" w:rsidRDefault="007F5D53">
      <w:pPr>
        <w:spacing w:after="0" w:line="240" w:lineRule="auto"/>
      </w:pPr>
      <w:r>
        <w:separator/>
      </w:r>
    </w:p>
  </w:endnote>
  <w:endnote w:type="continuationSeparator" w:id="0">
    <w:p w:rsidR="007F5D53" w:rsidRDefault="007F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53" w:rsidRDefault="007F5D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F5D53" w:rsidRDefault="007F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D56"/>
    <w:multiLevelType w:val="multilevel"/>
    <w:tmpl w:val="5EF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34719"/>
    <w:multiLevelType w:val="multilevel"/>
    <w:tmpl w:val="8E108C50"/>
    <w:styleLink w:val="WWNum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1.%2.%3."/>
      <w:lvlJc w:val="right"/>
      <w:pPr>
        <w:ind w:left="3153" w:hanging="180"/>
      </w:pPr>
    </w:lvl>
    <w:lvl w:ilvl="3">
      <w:start w:val="1"/>
      <w:numFmt w:val="decimal"/>
      <w:lvlText w:val="%1.%2.%3.%4."/>
      <w:lvlJc w:val="left"/>
      <w:pPr>
        <w:ind w:left="3873" w:hanging="360"/>
      </w:pPr>
    </w:lvl>
    <w:lvl w:ilvl="4">
      <w:start w:val="1"/>
      <w:numFmt w:val="lowerLetter"/>
      <w:lvlText w:val="%1.%2.%3.%4.%5."/>
      <w:lvlJc w:val="left"/>
      <w:pPr>
        <w:ind w:left="4593" w:hanging="360"/>
      </w:pPr>
    </w:lvl>
    <w:lvl w:ilvl="5">
      <w:start w:val="1"/>
      <w:numFmt w:val="lowerRoman"/>
      <w:lvlText w:val="%1.%2.%3.%4.%5.%6."/>
      <w:lvlJc w:val="right"/>
      <w:pPr>
        <w:ind w:left="5313" w:hanging="180"/>
      </w:pPr>
    </w:lvl>
    <w:lvl w:ilvl="6">
      <w:start w:val="1"/>
      <w:numFmt w:val="decimal"/>
      <w:lvlText w:val="%1.%2.%3.%4.%5.%6.%7."/>
      <w:lvlJc w:val="left"/>
      <w:pPr>
        <w:ind w:left="6033" w:hanging="360"/>
      </w:pPr>
    </w:lvl>
    <w:lvl w:ilvl="7">
      <w:start w:val="1"/>
      <w:numFmt w:val="lowerLetter"/>
      <w:lvlText w:val="%1.%2.%3.%4.%5.%6.%7.%8."/>
      <w:lvlJc w:val="left"/>
      <w:pPr>
        <w:ind w:left="6753" w:hanging="360"/>
      </w:pPr>
    </w:lvl>
    <w:lvl w:ilvl="8">
      <w:start w:val="1"/>
      <w:numFmt w:val="lowerRoman"/>
      <w:lvlText w:val="%1.%2.%3.%4.%5.%6.%7.%8.%9."/>
      <w:lvlJc w:val="right"/>
      <w:pPr>
        <w:ind w:left="7473" w:hanging="180"/>
      </w:pPr>
    </w:lvl>
  </w:abstractNum>
  <w:abstractNum w:abstractNumId="2">
    <w:nsid w:val="0B6132B2"/>
    <w:multiLevelType w:val="multilevel"/>
    <w:tmpl w:val="2B5A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C2EDE"/>
    <w:multiLevelType w:val="multilevel"/>
    <w:tmpl w:val="57F4AE32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1.%2.%3."/>
      <w:lvlJc w:val="right"/>
      <w:pPr>
        <w:ind w:left="2079" w:hanging="180"/>
      </w:pPr>
    </w:lvl>
    <w:lvl w:ilvl="3">
      <w:start w:val="1"/>
      <w:numFmt w:val="decimal"/>
      <w:lvlText w:val="%1.%2.%3.%4."/>
      <w:lvlJc w:val="left"/>
      <w:pPr>
        <w:ind w:left="2799" w:hanging="360"/>
      </w:pPr>
    </w:lvl>
    <w:lvl w:ilvl="4">
      <w:start w:val="1"/>
      <w:numFmt w:val="lowerLetter"/>
      <w:lvlText w:val="%1.%2.%3.%4.%5."/>
      <w:lvlJc w:val="left"/>
      <w:pPr>
        <w:ind w:left="3519" w:hanging="360"/>
      </w:pPr>
    </w:lvl>
    <w:lvl w:ilvl="5">
      <w:start w:val="1"/>
      <w:numFmt w:val="lowerRoman"/>
      <w:lvlText w:val="%1.%2.%3.%4.%5.%6."/>
      <w:lvlJc w:val="right"/>
      <w:pPr>
        <w:ind w:left="4239" w:hanging="180"/>
      </w:pPr>
    </w:lvl>
    <w:lvl w:ilvl="6">
      <w:start w:val="1"/>
      <w:numFmt w:val="decimal"/>
      <w:lvlText w:val="%1.%2.%3.%4.%5.%6.%7."/>
      <w:lvlJc w:val="left"/>
      <w:pPr>
        <w:ind w:left="4959" w:hanging="360"/>
      </w:pPr>
    </w:lvl>
    <w:lvl w:ilvl="7">
      <w:start w:val="1"/>
      <w:numFmt w:val="lowerLetter"/>
      <w:lvlText w:val="%1.%2.%3.%4.%5.%6.%7.%8."/>
      <w:lvlJc w:val="left"/>
      <w:pPr>
        <w:ind w:left="5679" w:hanging="360"/>
      </w:pPr>
    </w:lvl>
    <w:lvl w:ilvl="8">
      <w:start w:val="1"/>
      <w:numFmt w:val="lowerRoman"/>
      <w:lvlText w:val="%1.%2.%3.%4.%5.%6.%7.%8.%9."/>
      <w:lvlJc w:val="right"/>
      <w:pPr>
        <w:ind w:left="6399" w:hanging="180"/>
      </w:pPr>
    </w:lvl>
  </w:abstractNum>
  <w:abstractNum w:abstractNumId="4">
    <w:nsid w:val="1DC676C1"/>
    <w:multiLevelType w:val="multilevel"/>
    <w:tmpl w:val="2FFA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D6533"/>
    <w:multiLevelType w:val="multilevel"/>
    <w:tmpl w:val="4844AD9C"/>
    <w:styleLink w:val="WWNum9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decimal"/>
      <w:lvlText w:val="%2)"/>
      <w:lvlJc w:val="left"/>
      <w:pPr>
        <w:ind w:left="0" w:firstLine="709"/>
      </w:pPr>
    </w:lvl>
    <w:lvl w:ilvl="2">
      <w:start w:val="1"/>
      <w:numFmt w:val="none"/>
      <w:lvlText w:val="%3 "/>
      <w:lvlJc w:val="left"/>
      <w:pPr>
        <w:ind w:left="0" w:firstLine="709"/>
      </w:pPr>
    </w:lvl>
    <w:lvl w:ilvl="3">
      <w:start w:val="1"/>
      <w:numFmt w:val="none"/>
      <w:lvlText w:val="%4)"/>
      <w:lvlJc w:val="left"/>
      <w:pPr>
        <w:ind w:left="0" w:firstLine="709"/>
      </w:pPr>
    </w:lvl>
    <w:lvl w:ilvl="4">
      <w:start w:val="1"/>
      <w:numFmt w:val="none"/>
      <w:lvlText w:val="%5)"/>
      <w:lvlJc w:val="left"/>
      <w:pPr>
        <w:ind w:left="0" w:firstLine="709"/>
      </w:pPr>
    </w:lvl>
    <w:lvl w:ilvl="5">
      <w:start w:val="1"/>
      <w:numFmt w:val="lowerRoman"/>
      <w:lvlText w:val="(%1.%2.%3.%4.%5.%6)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numFmt w:val="bullet"/>
      <w:lvlText w:val="-"/>
      <w:lvlJc w:val="left"/>
      <w:pPr>
        <w:ind w:left="10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left"/>
      <w:pPr>
        <w:ind w:left="0" w:firstLine="709"/>
      </w:pPr>
    </w:lvl>
  </w:abstractNum>
  <w:abstractNum w:abstractNumId="6">
    <w:nsid w:val="237E5FF1"/>
    <w:multiLevelType w:val="multilevel"/>
    <w:tmpl w:val="D0E47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D02BA"/>
    <w:multiLevelType w:val="multilevel"/>
    <w:tmpl w:val="800E0512"/>
    <w:styleLink w:val="WWNum4"/>
    <w:lvl w:ilvl="0"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Times New Roman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Times New Roman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8">
    <w:nsid w:val="324F2B90"/>
    <w:multiLevelType w:val="multilevel"/>
    <w:tmpl w:val="02F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B197A"/>
    <w:multiLevelType w:val="multilevel"/>
    <w:tmpl w:val="1642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2277E"/>
    <w:multiLevelType w:val="multilevel"/>
    <w:tmpl w:val="79C88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32C05"/>
    <w:multiLevelType w:val="multilevel"/>
    <w:tmpl w:val="E4F2B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D5540"/>
    <w:multiLevelType w:val="multilevel"/>
    <w:tmpl w:val="85F6B3B0"/>
    <w:styleLink w:val="WWNum7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3">
    <w:nsid w:val="3D547939"/>
    <w:multiLevelType w:val="multilevel"/>
    <w:tmpl w:val="8272F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22941"/>
    <w:multiLevelType w:val="multilevel"/>
    <w:tmpl w:val="9FAAAA66"/>
    <w:styleLink w:val="WWNum1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5">
    <w:nsid w:val="427E263E"/>
    <w:multiLevelType w:val="multilevel"/>
    <w:tmpl w:val="C80AD6A2"/>
    <w:styleLink w:val="WWNum13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1.%2.%3."/>
      <w:lvlJc w:val="right"/>
      <w:pPr>
        <w:ind w:left="3153" w:hanging="180"/>
      </w:pPr>
    </w:lvl>
    <w:lvl w:ilvl="3">
      <w:start w:val="1"/>
      <w:numFmt w:val="decimal"/>
      <w:lvlText w:val="%1.%2.%3.%4."/>
      <w:lvlJc w:val="left"/>
      <w:pPr>
        <w:ind w:left="3873" w:hanging="360"/>
      </w:pPr>
    </w:lvl>
    <w:lvl w:ilvl="4">
      <w:start w:val="1"/>
      <w:numFmt w:val="lowerLetter"/>
      <w:lvlText w:val="%1.%2.%3.%4.%5."/>
      <w:lvlJc w:val="left"/>
      <w:pPr>
        <w:ind w:left="4593" w:hanging="360"/>
      </w:pPr>
    </w:lvl>
    <w:lvl w:ilvl="5">
      <w:start w:val="1"/>
      <w:numFmt w:val="lowerRoman"/>
      <w:lvlText w:val="%1.%2.%3.%4.%5.%6."/>
      <w:lvlJc w:val="right"/>
      <w:pPr>
        <w:ind w:left="5313" w:hanging="180"/>
      </w:pPr>
    </w:lvl>
    <w:lvl w:ilvl="6">
      <w:start w:val="1"/>
      <w:numFmt w:val="decimal"/>
      <w:lvlText w:val="%1.%2.%3.%4.%5.%6.%7."/>
      <w:lvlJc w:val="left"/>
      <w:pPr>
        <w:ind w:left="6033" w:hanging="360"/>
      </w:pPr>
    </w:lvl>
    <w:lvl w:ilvl="7">
      <w:start w:val="1"/>
      <w:numFmt w:val="lowerLetter"/>
      <w:lvlText w:val="%1.%2.%3.%4.%5.%6.%7.%8."/>
      <w:lvlJc w:val="left"/>
      <w:pPr>
        <w:ind w:left="6753" w:hanging="360"/>
      </w:pPr>
    </w:lvl>
    <w:lvl w:ilvl="8">
      <w:start w:val="1"/>
      <w:numFmt w:val="lowerRoman"/>
      <w:lvlText w:val="%1.%2.%3.%4.%5.%6.%7.%8.%9."/>
      <w:lvlJc w:val="right"/>
      <w:pPr>
        <w:ind w:left="7473" w:hanging="180"/>
      </w:pPr>
    </w:lvl>
  </w:abstractNum>
  <w:abstractNum w:abstractNumId="16">
    <w:nsid w:val="48900885"/>
    <w:multiLevelType w:val="multilevel"/>
    <w:tmpl w:val="F60E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C1924"/>
    <w:multiLevelType w:val="multilevel"/>
    <w:tmpl w:val="78F6E694"/>
    <w:styleLink w:val="WWNum11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decimal"/>
      <w:lvlText w:val="%2)"/>
      <w:lvlJc w:val="left"/>
      <w:pPr>
        <w:ind w:left="0" w:firstLine="709"/>
      </w:pPr>
    </w:lvl>
    <w:lvl w:ilvl="2">
      <w:start w:val="1"/>
      <w:numFmt w:val="none"/>
      <w:lvlText w:val="%3 "/>
      <w:lvlJc w:val="left"/>
      <w:pPr>
        <w:ind w:left="0" w:firstLine="709"/>
      </w:pPr>
    </w:lvl>
    <w:lvl w:ilvl="3">
      <w:start w:val="1"/>
      <w:numFmt w:val="none"/>
      <w:lvlText w:val="%4)"/>
      <w:lvlJc w:val="left"/>
      <w:pPr>
        <w:ind w:left="0" w:firstLine="709"/>
      </w:pPr>
    </w:lvl>
    <w:lvl w:ilvl="4">
      <w:start w:val="1"/>
      <w:numFmt w:val="none"/>
      <w:lvlText w:val="%5)"/>
      <w:lvlJc w:val="left"/>
      <w:pPr>
        <w:ind w:left="0" w:firstLine="709"/>
      </w:pPr>
    </w:lvl>
    <w:lvl w:ilvl="5">
      <w:start w:val="1"/>
      <w:numFmt w:val="lowerRoman"/>
      <w:lvlText w:val="(%1.%2.%3.%4.%5.%6)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numFmt w:val="bullet"/>
      <w:lvlText w:val="-"/>
      <w:lvlJc w:val="left"/>
      <w:pPr>
        <w:ind w:left="10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left"/>
      <w:pPr>
        <w:ind w:left="0" w:firstLine="709"/>
      </w:pPr>
    </w:lvl>
  </w:abstractNum>
  <w:abstractNum w:abstractNumId="18">
    <w:nsid w:val="49A5105F"/>
    <w:multiLevelType w:val="multilevel"/>
    <w:tmpl w:val="5A3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EE6179"/>
    <w:multiLevelType w:val="multilevel"/>
    <w:tmpl w:val="54DA96A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>
    <w:nsid w:val="59903514"/>
    <w:multiLevelType w:val="multilevel"/>
    <w:tmpl w:val="DD54A3E6"/>
    <w:styleLink w:val="WWNum15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1.%2.%3."/>
      <w:lvlJc w:val="right"/>
      <w:pPr>
        <w:ind w:left="3720" w:hanging="180"/>
      </w:pPr>
    </w:lvl>
    <w:lvl w:ilvl="3">
      <w:start w:val="1"/>
      <w:numFmt w:val="decimal"/>
      <w:lvlText w:val="%1.%2.%3.%4."/>
      <w:lvlJc w:val="left"/>
      <w:pPr>
        <w:ind w:left="4440" w:hanging="360"/>
      </w:pPr>
    </w:lvl>
    <w:lvl w:ilvl="4">
      <w:start w:val="1"/>
      <w:numFmt w:val="lowerLetter"/>
      <w:lvlText w:val="%1.%2.%3.%4.%5."/>
      <w:lvlJc w:val="left"/>
      <w:pPr>
        <w:ind w:left="5160" w:hanging="360"/>
      </w:pPr>
    </w:lvl>
    <w:lvl w:ilvl="5">
      <w:start w:val="1"/>
      <w:numFmt w:val="lowerRoman"/>
      <w:lvlText w:val="%1.%2.%3.%4.%5.%6."/>
      <w:lvlJc w:val="right"/>
      <w:pPr>
        <w:ind w:left="5880" w:hanging="180"/>
      </w:pPr>
    </w:lvl>
    <w:lvl w:ilvl="6">
      <w:start w:val="1"/>
      <w:numFmt w:val="decimal"/>
      <w:lvlText w:val="%1.%2.%3.%4.%5.%6.%7."/>
      <w:lvlJc w:val="left"/>
      <w:pPr>
        <w:ind w:left="6600" w:hanging="360"/>
      </w:pPr>
    </w:lvl>
    <w:lvl w:ilvl="7">
      <w:start w:val="1"/>
      <w:numFmt w:val="lowerLetter"/>
      <w:lvlText w:val="%1.%2.%3.%4.%5.%6.%7.%8."/>
      <w:lvlJc w:val="left"/>
      <w:pPr>
        <w:ind w:left="7320" w:hanging="360"/>
      </w:pPr>
    </w:lvl>
    <w:lvl w:ilvl="8">
      <w:start w:val="1"/>
      <w:numFmt w:val="lowerRoman"/>
      <w:lvlText w:val="%1.%2.%3.%4.%5.%6.%7.%8.%9."/>
      <w:lvlJc w:val="right"/>
      <w:pPr>
        <w:ind w:left="8040" w:hanging="180"/>
      </w:pPr>
    </w:lvl>
  </w:abstractNum>
  <w:abstractNum w:abstractNumId="21">
    <w:nsid w:val="5D4C7488"/>
    <w:multiLevelType w:val="multilevel"/>
    <w:tmpl w:val="BB541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5223F"/>
    <w:multiLevelType w:val="multilevel"/>
    <w:tmpl w:val="200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C3C79"/>
    <w:multiLevelType w:val="multilevel"/>
    <w:tmpl w:val="67162020"/>
    <w:styleLink w:val="WWNum14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4">
    <w:nsid w:val="61344A6D"/>
    <w:multiLevelType w:val="multilevel"/>
    <w:tmpl w:val="100AAA3E"/>
    <w:styleLink w:val="WWNum1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1.%2.%3."/>
      <w:lvlJc w:val="right"/>
      <w:pPr>
        <w:ind w:left="2640" w:hanging="180"/>
      </w:pPr>
    </w:lvl>
    <w:lvl w:ilvl="3">
      <w:start w:val="1"/>
      <w:numFmt w:val="decimal"/>
      <w:lvlText w:val="%1.%2.%3.%4."/>
      <w:lvlJc w:val="left"/>
      <w:pPr>
        <w:ind w:left="3360" w:hanging="360"/>
      </w:pPr>
    </w:lvl>
    <w:lvl w:ilvl="4">
      <w:start w:val="1"/>
      <w:numFmt w:val="lowerLetter"/>
      <w:lvlText w:val="%1.%2.%3.%4.%5."/>
      <w:lvlJc w:val="left"/>
      <w:pPr>
        <w:ind w:left="4080" w:hanging="360"/>
      </w:pPr>
    </w:lvl>
    <w:lvl w:ilvl="5">
      <w:start w:val="1"/>
      <w:numFmt w:val="lowerRoman"/>
      <w:lvlText w:val="%1.%2.%3.%4.%5.%6."/>
      <w:lvlJc w:val="right"/>
      <w:pPr>
        <w:ind w:left="4800" w:hanging="180"/>
      </w:pPr>
    </w:lvl>
    <w:lvl w:ilvl="6">
      <w:start w:val="1"/>
      <w:numFmt w:val="decimal"/>
      <w:lvlText w:val="%1.%2.%3.%4.%5.%6.%7."/>
      <w:lvlJc w:val="left"/>
      <w:pPr>
        <w:ind w:left="5520" w:hanging="360"/>
      </w:pPr>
    </w:lvl>
    <w:lvl w:ilvl="7">
      <w:start w:val="1"/>
      <w:numFmt w:val="lowerLetter"/>
      <w:lvlText w:val="%1.%2.%3.%4.%5.%6.%7.%8."/>
      <w:lvlJc w:val="left"/>
      <w:pPr>
        <w:ind w:left="6240" w:hanging="360"/>
      </w:pPr>
    </w:lvl>
    <w:lvl w:ilvl="8">
      <w:start w:val="1"/>
      <w:numFmt w:val="lowerRoman"/>
      <w:lvlText w:val="%1.%2.%3.%4.%5.%6.%7.%8.%9."/>
      <w:lvlJc w:val="right"/>
      <w:pPr>
        <w:ind w:left="6960" w:hanging="180"/>
      </w:pPr>
    </w:lvl>
  </w:abstractNum>
  <w:abstractNum w:abstractNumId="25">
    <w:nsid w:val="69A238C8"/>
    <w:multiLevelType w:val="multilevel"/>
    <w:tmpl w:val="3FC48DE0"/>
    <w:styleLink w:val="WWNum8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1.%2.%3."/>
      <w:lvlJc w:val="right"/>
      <w:pPr>
        <w:ind w:left="3720" w:hanging="180"/>
      </w:pPr>
    </w:lvl>
    <w:lvl w:ilvl="3">
      <w:start w:val="1"/>
      <w:numFmt w:val="decimal"/>
      <w:lvlText w:val="%1.%2.%3.%4."/>
      <w:lvlJc w:val="left"/>
      <w:pPr>
        <w:ind w:left="4440" w:hanging="360"/>
      </w:pPr>
    </w:lvl>
    <w:lvl w:ilvl="4">
      <w:start w:val="1"/>
      <w:numFmt w:val="lowerLetter"/>
      <w:lvlText w:val="%1.%2.%3.%4.%5."/>
      <w:lvlJc w:val="left"/>
      <w:pPr>
        <w:ind w:left="5160" w:hanging="360"/>
      </w:pPr>
    </w:lvl>
    <w:lvl w:ilvl="5">
      <w:start w:val="1"/>
      <w:numFmt w:val="lowerRoman"/>
      <w:lvlText w:val="%1.%2.%3.%4.%5.%6."/>
      <w:lvlJc w:val="right"/>
      <w:pPr>
        <w:ind w:left="5880" w:hanging="180"/>
      </w:pPr>
    </w:lvl>
    <w:lvl w:ilvl="6">
      <w:start w:val="1"/>
      <w:numFmt w:val="decimal"/>
      <w:lvlText w:val="%1.%2.%3.%4.%5.%6.%7."/>
      <w:lvlJc w:val="left"/>
      <w:pPr>
        <w:ind w:left="6600" w:hanging="360"/>
      </w:pPr>
    </w:lvl>
    <w:lvl w:ilvl="7">
      <w:start w:val="1"/>
      <w:numFmt w:val="lowerLetter"/>
      <w:lvlText w:val="%1.%2.%3.%4.%5.%6.%7.%8."/>
      <w:lvlJc w:val="left"/>
      <w:pPr>
        <w:ind w:left="7320" w:hanging="360"/>
      </w:pPr>
    </w:lvl>
    <w:lvl w:ilvl="8">
      <w:start w:val="1"/>
      <w:numFmt w:val="lowerRoman"/>
      <w:lvlText w:val="%1.%2.%3.%4.%5.%6.%7.%8.%9."/>
      <w:lvlJc w:val="right"/>
      <w:pPr>
        <w:ind w:left="8040" w:hanging="180"/>
      </w:pPr>
    </w:lvl>
  </w:abstractNum>
  <w:abstractNum w:abstractNumId="26">
    <w:nsid w:val="7596592E"/>
    <w:multiLevelType w:val="multilevel"/>
    <w:tmpl w:val="27A0701E"/>
    <w:styleLink w:val="WWNum10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decimal"/>
      <w:lvlText w:val="%2)"/>
      <w:lvlJc w:val="left"/>
      <w:pPr>
        <w:ind w:left="0" w:firstLine="709"/>
      </w:pPr>
    </w:lvl>
    <w:lvl w:ilvl="2">
      <w:start w:val="1"/>
      <w:numFmt w:val="none"/>
      <w:lvlText w:val="%3 "/>
      <w:lvlJc w:val="left"/>
      <w:pPr>
        <w:ind w:left="0" w:firstLine="709"/>
      </w:pPr>
    </w:lvl>
    <w:lvl w:ilvl="3">
      <w:start w:val="1"/>
      <w:numFmt w:val="none"/>
      <w:lvlText w:val="%4)"/>
      <w:lvlJc w:val="left"/>
      <w:pPr>
        <w:ind w:left="0" w:firstLine="709"/>
      </w:pPr>
    </w:lvl>
    <w:lvl w:ilvl="4">
      <w:numFmt w:val="bullet"/>
      <w:lvlText w:val=""/>
      <w:lvlJc w:val="left"/>
      <w:pPr>
        <w:ind w:left="1069" w:hanging="360"/>
      </w:pPr>
    </w:lvl>
    <w:lvl w:ilvl="5">
      <w:start w:val="1"/>
      <w:numFmt w:val="lowerRoman"/>
      <w:lvlText w:val="(%1.%2.%3.%4.%5.%6)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numFmt w:val="bullet"/>
      <w:lvlText w:val="-"/>
      <w:lvlJc w:val="left"/>
      <w:pPr>
        <w:ind w:left="10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left"/>
      <w:pPr>
        <w:ind w:left="0" w:firstLine="709"/>
      </w:pPr>
    </w:lvl>
  </w:abstractNum>
  <w:abstractNum w:abstractNumId="27">
    <w:nsid w:val="795F76E3"/>
    <w:multiLevelType w:val="multilevel"/>
    <w:tmpl w:val="4A586F22"/>
    <w:styleLink w:val="WWNum5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8">
    <w:nsid w:val="798F3486"/>
    <w:multiLevelType w:val="multilevel"/>
    <w:tmpl w:val="63B48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41444A"/>
    <w:multiLevelType w:val="multilevel"/>
    <w:tmpl w:val="40B0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75D16"/>
    <w:multiLevelType w:val="multilevel"/>
    <w:tmpl w:val="AE0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7"/>
  </w:num>
  <w:num w:numId="5">
    <w:abstractNumId w:val="27"/>
  </w:num>
  <w:num w:numId="6">
    <w:abstractNumId w:val="1"/>
  </w:num>
  <w:num w:numId="7">
    <w:abstractNumId w:val="12"/>
  </w:num>
  <w:num w:numId="8">
    <w:abstractNumId w:val="25"/>
  </w:num>
  <w:num w:numId="9">
    <w:abstractNumId w:val="5"/>
  </w:num>
  <w:num w:numId="10">
    <w:abstractNumId w:val="26"/>
  </w:num>
  <w:num w:numId="11">
    <w:abstractNumId w:val="17"/>
  </w:num>
  <w:num w:numId="12">
    <w:abstractNumId w:val="14"/>
  </w:num>
  <w:num w:numId="13">
    <w:abstractNumId w:val="15"/>
  </w:num>
  <w:num w:numId="14">
    <w:abstractNumId w:val="23"/>
  </w:num>
  <w:num w:numId="15">
    <w:abstractNumId w:val="20"/>
  </w:num>
  <w:num w:numId="16">
    <w:abstractNumId w:val="4"/>
  </w:num>
  <w:num w:numId="17">
    <w:abstractNumId w:val="2"/>
  </w:num>
  <w:num w:numId="18">
    <w:abstractNumId w:val="8"/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22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18"/>
  </w:num>
  <w:num w:numId="25">
    <w:abstractNumId w:val="30"/>
  </w:num>
  <w:num w:numId="26">
    <w:abstractNumId w:val="29"/>
  </w:num>
  <w:num w:numId="27">
    <w:abstractNumId w:val="9"/>
  </w:num>
  <w:num w:numId="28">
    <w:abstractNumId w:val="16"/>
  </w:num>
  <w:num w:numId="29">
    <w:abstractNumId w:val="0"/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  <w:num w:numId="32">
    <w:abstractNumId w:val="13"/>
    <w:lvlOverride w:ilvl="0">
      <w:lvl w:ilvl="0">
        <w:numFmt w:val="decimal"/>
        <w:lvlText w:val="%1."/>
        <w:lvlJc w:val="left"/>
      </w:lvl>
    </w:lvlOverride>
  </w:num>
  <w:num w:numId="33">
    <w:abstractNumId w:val="2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F9"/>
    <w:rsid w:val="001445F9"/>
    <w:rsid w:val="00177408"/>
    <w:rsid w:val="00791D59"/>
    <w:rsid w:val="007F5D53"/>
    <w:rsid w:val="008E0C7A"/>
    <w:rsid w:val="009203A6"/>
    <w:rsid w:val="00C50E9D"/>
    <w:rsid w:val="00C933B8"/>
    <w:rsid w:val="00CB755D"/>
    <w:rsid w:val="00CC4B84"/>
    <w:rsid w:val="00E02B02"/>
    <w:rsid w:val="00ED1E02"/>
    <w:rsid w:val="00F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AC6F9-4B66-4EA0-B3C0-526C65A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 Spacing"/>
    <w:pPr>
      <w:widowControl/>
      <w:suppressAutoHyphens/>
      <w:spacing w:after="0" w:line="240" w:lineRule="auto"/>
    </w:pPr>
    <w:rPr>
      <w:lang w:eastAsia="ru-RU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8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 w:cs="Times New Roman"/>
      <w:sz w:val="16"/>
      <w:szCs w:val="20"/>
      <w:lang w:eastAsia="ar-SA"/>
    </w:rPr>
  </w:style>
  <w:style w:type="paragraph" w:customStyle="1" w:styleId="rvps2">
    <w:name w:val="rvps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Обычный (Интернет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List 2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character" w:styleId="ac">
    <w:name w:val="Emphasis"/>
    <w:rPr>
      <w:i/>
      <w:iCs/>
    </w:rPr>
  </w:style>
  <w:style w:type="character" w:customStyle="1" w:styleId="ListLabel3">
    <w:name w:val="ListLabel 3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paragraph" w:styleId="ad">
    <w:name w:val="Normal (Web)"/>
    <w:basedOn w:val="a"/>
    <w:uiPriority w:val="99"/>
    <w:semiHidden/>
    <w:unhideWhenUsed/>
    <w:rsid w:val="00791D5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791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05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2025-10-24T10:48:00Z</cp:lastPrinted>
  <dcterms:created xsi:type="dcterms:W3CDTF">2025-10-24T10:49:00Z</dcterms:created>
  <dcterms:modified xsi:type="dcterms:W3CDTF">2025-10-24T10:49:00Z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