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443FA5" w:rsidRDefault="00857D12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417384B" w14:textId="69D77E98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2075E6" w14:textId="7757A283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8027100" w14:textId="77777777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73FCE59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Hlk183772844"/>
    </w:p>
    <w:p w14:paraId="25DBF7C9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2BDB07E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228766A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5539388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24F9CC7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D434775" w14:textId="77777777" w:rsidR="005218E7" w:rsidRDefault="005218E7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9193642" w14:textId="77777777" w:rsidR="005218E7" w:rsidRPr="005218E7" w:rsidRDefault="005218E7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133E4601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A1B0A79" w14:textId="7F750BB1" w:rsidR="003A3112" w:rsidRPr="000E113A" w:rsidRDefault="003A3112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E113A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Програми відновлення  об'єктів соціальної сфери, критичної інфраструктури та житлових будинків в умовах правово</w:t>
      </w:r>
      <w:r w:rsidR="00BD096D">
        <w:rPr>
          <w:rFonts w:ascii="Times New Roman" w:hAnsi="Times New Roman" w:cs="Times New Roman"/>
          <w:noProof/>
          <w:sz w:val="28"/>
          <w:szCs w:val="28"/>
          <w:lang w:val="uk-UA"/>
        </w:rPr>
        <w:t>го режиму воєнного стану на 2026</w:t>
      </w:r>
      <w:r w:rsidR="002618BA" w:rsidRPr="000E113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</w:p>
    <w:bookmarkEnd w:id="0"/>
    <w:p w14:paraId="3A5AEE1A" w14:textId="77777777" w:rsidR="00171C71" w:rsidRPr="00443FA5" w:rsidRDefault="00171C71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A6D72CA" w14:textId="3496BBB6" w:rsidR="003A3112" w:rsidRPr="00443FA5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від </w:t>
      </w:r>
      <w:r w:rsidR="00BD0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28.11.2025 №</w:t>
      </w:r>
      <w:r w:rsidR="00D40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0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11-155</w:t>
      </w:r>
      <w:r w:rsidR="00345DE4"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розпорядженням Одеської обласної військової адміністрації від 10.03.2022 №</w:t>
      </w:r>
      <w:r w:rsidR="00D40C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</w:t>
      </w:r>
      <w:r w:rsidR="00D40CA0">
        <w:rPr>
          <w:rFonts w:ascii="Times New Roman" w:hAnsi="Times New Roman" w:cs="Times New Roman"/>
          <w:noProof/>
          <w:sz w:val="28"/>
          <w:szCs w:val="28"/>
          <w:lang w:val="uk-UA"/>
        </w:rPr>
        <w:t>норм ст.ст. 10, 25, 26, 59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Указу Президента України від 24</w:t>
      </w:r>
      <w:r w:rsidR="00D40C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.02.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2022 № 64/2022 «Про введення воєнного стану в Україні», ст</w:t>
      </w:r>
      <w:r w:rsidR="00D40C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443FA5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</w:t>
      </w:r>
      <w:r w:rsidR="00D40CA0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.03.</w:t>
      </w:r>
      <w:r w:rsidRPr="00443FA5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2022 № 252 «</w:t>
      </w:r>
      <w:r w:rsidRPr="00443FA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межах повноважень органу місцевого самоврядування</w:t>
      </w:r>
      <w:r w:rsidRPr="00443FA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5218E7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78B7A0CD" w14:textId="53A5FA3B" w:rsidR="003A3112" w:rsidRPr="00443FA5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r w:rsidR="005218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739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proofErr w:type="spellStart"/>
      <w:r w:rsidR="00F739B7" w:rsidRPr="00443FA5">
        <w:rPr>
          <w:rFonts w:ascii="Times New Roman" w:eastAsia="Calibri" w:hAnsi="Times New Roman" w:cs="Times New Roman"/>
          <w:sz w:val="28"/>
          <w:szCs w:val="28"/>
          <w:lang w:val="uk-UA"/>
        </w:rPr>
        <w:t>атвердити</w:t>
      </w:r>
      <w:proofErr w:type="spellEnd"/>
      <w:r w:rsidR="00F739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Програму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відновлення  об'єктів соціальної сфери, критичної інфраструктури та житлових будинків в умовах правово</w:t>
      </w:r>
      <w:r w:rsidR="00AF4C66">
        <w:rPr>
          <w:rFonts w:ascii="Times New Roman" w:hAnsi="Times New Roman" w:cs="Times New Roman"/>
          <w:noProof/>
          <w:sz w:val="28"/>
          <w:szCs w:val="28"/>
          <w:lang w:val="uk-UA"/>
        </w:rPr>
        <w:t>го режиму воєнного стану на 2026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рік,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37A0DC46" w14:textId="77777777" w:rsidR="003A3112" w:rsidRPr="00443FA5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12F3063" w14:textId="3A49CE09" w:rsidR="003A3112" w:rsidRPr="00443FA5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2. </w:t>
      </w:r>
      <w:r w:rsidR="005218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4C5129A" w14:textId="77777777" w:rsidR="003A3112" w:rsidRPr="005218E7" w:rsidRDefault="003A3112" w:rsidP="003A3112">
      <w:pPr>
        <w:pStyle w:val="a6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3C71EFC9" w14:textId="77777777" w:rsidR="005218E7" w:rsidRDefault="005218E7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276780ED" w14:textId="62967B68" w:rsidR="003A3112" w:rsidRPr="00E562FF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bookmarkStart w:id="1" w:name="_GoBack"/>
      <w:bookmarkEnd w:id="1"/>
      <w:r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</w:t>
      </w:r>
      <w:r w:rsidR="000E113A"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</w:t>
      </w:r>
      <w:r w:rsidR="005218E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</w:t>
      </w:r>
      <w:r w:rsidR="000E113A"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25619C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255B6C5E" w:rsidR="003A3112" w:rsidRPr="00E562FF" w:rsidRDefault="00AF4C66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D40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4070</w:t>
      </w:r>
      <w:r w:rsidR="003A3112" w:rsidRPr="00E562F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E562F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58EA99E1" w:rsidR="003A3112" w:rsidRPr="00E562FF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562F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9A14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19</w:t>
      </w:r>
      <w:r w:rsidR="007C733C" w:rsidRPr="00E562F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.12</w:t>
      </w:r>
      <w:r w:rsidR="00AF4C6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.2025</w:t>
      </w:r>
    </w:p>
    <w:p w14:paraId="6FDFD58F" w14:textId="77777777" w:rsidR="002D52D0" w:rsidRDefault="002D52D0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483415F" w14:textId="77777777" w:rsidR="002D52D0" w:rsidRDefault="002D52D0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7910CC87" w:rsidR="003F4134" w:rsidRPr="00443FA5" w:rsidRDefault="003F4134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</w:p>
    <w:p w14:paraId="055E0DE7" w14:textId="423121A1" w:rsidR="003F4134" w:rsidRPr="00443FA5" w:rsidRDefault="003F4134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 </w:t>
      </w:r>
      <w:r w:rsidR="00E4575C">
        <w:rPr>
          <w:rFonts w:ascii="Times New Roman" w:hAnsi="Times New Roman" w:cs="Times New Roman"/>
          <w:noProof/>
          <w:sz w:val="24"/>
          <w:szCs w:val="24"/>
          <w:lang w:val="uk-UA"/>
        </w:rPr>
        <w:t>рішення сесії</w:t>
      </w:r>
    </w:p>
    <w:p w14:paraId="04480D65" w14:textId="2D49D53D" w:rsidR="003F4134" w:rsidRPr="00443FA5" w:rsidRDefault="003F4134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A1400">
        <w:rPr>
          <w:rFonts w:ascii="Times New Roman" w:hAnsi="Times New Roman" w:cs="Times New Roman"/>
          <w:noProof/>
          <w:sz w:val="24"/>
          <w:szCs w:val="24"/>
          <w:lang w:val="uk-UA"/>
        </w:rPr>
        <w:t>19</w:t>
      </w:r>
      <w:r w:rsidR="00E562FF">
        <w:rPr>
          <w:rFonts w:ascii="Times New Roman" w:hAnsi="Times New Roman" w:cs="Times New Roman"/>
          <w:noProof/>
          <w:sz w:val="24"/>
          <w:szCs w:val="24"/>
          <w:lang w:val="uk-UA"/>
        </w:rPr>
        <w:t>.12.</w:t>
      </w:r>
      <w:r w:rsidR="00207AD2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E4575C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81331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91610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D40CA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4070</w:t>
      </w:r>
      <w:r w:rsidR="00BD01F3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BD01F3" w:rsidRPr="00BD01F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BD01F3" w:rsidRPr="000E1AD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6C3176" w:rsidRPr="00BD01F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5B369130" w14:textId="77777777" w:rsidR="003F4134" w:rsidRPr="00443FA5" w:rsidRDefault="003F4134" w:rsidP="00781C2B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76CD2CD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4DFDFB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B9514EB" w14:textId="7D0C60D4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EEBA750" w14:textId="117EA379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5212A7" w14:textId="61A26543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E1397F4" w14:textId="40B93299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BD6F1F3" w14:textId="77777777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15034C4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EBF6DDC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0E65302" w14:textId="77777777" w:rsidR="0074277B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443FA5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6B171B5C" w:rsidR="003F4134" w:rsidRPr="00443FA5" w:rsidRDefault="00AB29BE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2026</w:t>
      </w:r>
      <w:r w:rsidR="003A3112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B4F5922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1B3D0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600061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9F55E38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52C4BFC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F6BBA84" w14:textId="77777777" w:rsidR="00906B46" w:rsidRPr="00443FA5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DF4E18" w14:textId="77777777" w:rsidR="00906B46" w:rsidRPr="00443FA5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C3B707" w14:textId="77777777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E5145E1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F2CDBD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3CB8F06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33A97F9" w14:textId="200CAD01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155BBE8" w14:textId="71168420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7D7BF75" w14:textId="7AD89A7B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2AB5C9D" w14:textId="630CDDA8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FA06213" w14:textId="46DF7042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9E4E72C" w14:textId="77777777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D857A46" w14:textId="5813A101" w:rsidR="003F4134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Авангард – 20</w:t>
      </w:r>
      <w:r w:rsidR="00881331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25619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54B08980" w14:textId="642EEF8C" w:rsidR="003F4134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  <w:r w:rsidR="00FD5443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І</w:t>
      </w:r>
      <w:r w:rsidR="00FA56E3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ПАСПОРТ</w:t>
      </w:r>
    </w:p>
    <w:p w14:paraId="1397C493" w14:textId="652AA0A9" w:rsidR="0074277B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 w:rsidR="00207AD2"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відновлення</w:t>
      </w:r>
      <w:r w:rsidR="00E56FB0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AB29B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</w:t>
      </w:r>
      <w:r w:rsidR="00162AC4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402"/>
        <w:gridCol w:w="5386"/>
      </w:tblGrid>
      <w:tr w:rsidR="00443FA5" w:rsidRPr="00443FA5" w14:paraId="29BE858E" w14:textId="77777777" w:rsidTr="00D64DCB">
        <w:trPr>
          <w:trHeight w:val="726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0369" w14:textId="77777777" w:rsidR="003F4134" w:rsidRPr="00443FA5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9BF9" w14:textId="77777777" w:rsidR="003F4134" w:rsidRPr="00443FA5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8E94" w14:textId="64F6DA25" w:rsidR="003F4134" w:rsidRPr="00443FA5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443FA5" w14:paraId="0EE59B35" w14:textId="77777777" w:rsidTr="00D64DCB">
        <w:trPr>
          <w:trHeight w:val="1122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EB37" w14:textId="74D6CE98" w:rsidR="002C7F57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917E" w14:textId="64FA0DF5" w:rsidR="002C7F57" w:rsidRPr="00443FA5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90ED" w14:textId="1835F108" w:rsidR="002C7F57" w:rsidRPr="00443FA5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443FA5" w14:paraId="1F8E49CC" w14:textId="77777777" w:rsidTr="00D64DCB">
        <w:trPr>
          <w:trHeight w:val="1122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5E7F" w14:textId="77777777" w:rsidR="000D525E" w:rsidRPr="00443FA5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3AC" w14:textId="77777777" w:rsidR="000D525E" w:rsidRPr="00443FA5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D68B" w14:textId="5B66FEB3" w:rsidR="000D525E" w:rsidRPr="00443FA5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443FA5" w14:paraId="074D85CE" w14:textId="77777777" w:rsidTr="00D64DCB">
        <w:trPr>
          <w:trHeight w:val="16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CC89" w14:textId="77777777" w:rsidR="000D525E" w:rsidRPr="00443FA5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ACE" w14:textId="77777777" w:rsidR="000D525E" w:rsidRPr="00443FA5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1BCF" w14:textId="7AE50D65" w:rsidR="000D525E" w:rsidRPr="00443FA5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443FA5" w14:paraId="26A1A5B7" w14:textId="77777777" w:rsidTr="00D64DCB">
        <w:trPr>
          <w:trHeight w:val="27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ECC1" w14:textId="77777777" w:rsidR="00475995" w:rsidRPr="00443FA5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7571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334E9" w14:textId="7E2DE427" w:rsidR="00475995" w:rsidRPr="00443FA5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443FA5" w14:paraId="1E379BF1" w14:textId="77777777" w:rsidTr="00D64DCB">
        <w:trPr>
          <w:trHeight w:val="27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B46E" w14:textId="6232A571" w:rsidR="002C7F57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E004" w14:textId="51F0CBDC" w:rsidR="002C7F57" w:rsidRPr="00443FA5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Учасники Програми</w:t>
            </w: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65F39" w14:textId="109A1033" w:rsidR="002C7F57" w:rsidRPr="00443FA5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443FA5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</w:t>
            </w:r>
            <w:r w:rsidR="002C7F57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443FA5" w14:paraId="2D599F48" w14:textId="77777777" w:rsidTr="00D64DCB">
        <w:trPr>
          <w:trHeight w:val="43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1382" w14:textId="338AA1A5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1448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CE86" w14:textId="43534F98" w:rsidR="00475995" w:rsidRPr="00443FA5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</w:t>
            </w:r>
            <w:r w:rsidR="00AB29B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43FA5" w:rsidRPr="00443FA5" w14:paraId="318D23E4" w14:textId="77777777" w:rsidTr="00D64DCB">
        <w:trPr>
          <w:trHeight w:val="1154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405443" w14:textId="7C279103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8ED76A4" w14:textId="30A79826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Загальний обсяг фінансових ресурсів, необхідних </w:t>
            </w:r>
            <w:r w:rsidR="00D64D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для реалізації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8ED456D" w14:textId="2260286F" w:rsidR="00475995" w:rsidRPr="00443FA5" w:rsidRDefault="00364145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414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15 075 000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 грн.</w:t>
            </w:r>
          </w:p>
        </w:tc>
      </w:tr>
      <w:tr w:rsidR="00475995" w:rsidRPr="00443FA5" w14:paraId="5232728C" w14:textId="77777777" w:rsidTr="00D64DCB">
        <w:trPr>
          <w:trHeight w:val="97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ABA3" w14:textId="4FA05E2E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3C78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5370" w14:textId="4257FB50" w:rsidR="00475995" w:rsidRPr="00443FA5" w:rsidRDefault="0036414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15 075 000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45436709" w14:textId="77777777" w:rsidR="005843DF" w:rsidRPr="00443FA5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т.ч.</w:t>
            </w:r>
          </w:p>
          <w:p w14:paraId="34E937FA" w14:textId="66AA3F5E" w:rsidR="005843DF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КФК 1518110 – </w:t>
            </w:r>
            <w:r w:rsidR="000E1AD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14 775 000</w:t>
            </w:r>
            <w:r w:rsidR="005843DF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2C8BEA44" w14:textId="622035C4" w:rsidR="00D479AC" w:rsidRPr="00D479AC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КФК 0118110 – </w:t>
            </w:r>
            <w:r w:rsidRPr="00D47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300 000 грн.</w:t>
            </w:r>
          </w:p>
          <w:p w14:paraId="7EAE7452" w14:textId="77777777" w:rsidR="00D479AC" w:rsidRPr="00443FA5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1C03A089" w14:textId="37BE5607" w:rsidR="005843DF" w:rsidRPr="00443FA5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53475856" w14:textId="4D27CCE6" w:rsidR="009D3F6A" w:rsidRPr="00443FA5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ІІ</w:t>
      </w:r>
      <w:r w:rsidR="009D3F6A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443FA5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1D799" w14:textId="5A2126AA" w:rsidR="00C16AAA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прямої військової агресії російської </w:t>
      </w:r>
      <w:r w:rsidR="00C16AAA" w:rsidRPr="00443FA5">
        <w:rPr>
          <w:rFonts w:ascii="Times New Roman" w:hAnsi="Times New Roman" w:cs="Times New Roman"/>
          <w:sz w:val="28"/>
          <w:szCs w:val="28"/>
          <w:lang w:val="uk-UA"/>
        </w:rPr>
        <w:t>федерації проти України призводить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до руйнації </w:t>
      </w:r>
      <w:r w:rsidR="0090491E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90491E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 та житлових будинків</w:t>
      </w:r>
      <w:r w:rsidR="0090491E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громадян України, багатоквартирних будинків на території </w:t>
      </w:r>
      <w:r w:rsidR="00C16AAA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громади. </w:t>
      </w:r>
    </w:p>
    <w:p w14:paraId="5F9B6102" w14:textId="52C1E089" w:rsidR="00C16AAA" w:rsidRPr="00443FA5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Офісу Президента України,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Одеської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8E0DD0" w:rsidRPr="00443FA5">
        <w:rPr>
          <w:rFonts w:ascii="Times New Roman" w:hAnsi="Times New Roman" w:cs="Times New Roman"/>
          <w:sz w:val="28"/>
          <w:szCs w:val="28"/>
          <w:lang w:val="uk-UA"/>
        </w:rPr>
        <w:t>,.</w:t>
      </w:r>
    </w:p>
    <w:p w14:paraId="65599623" w14:textId="36CD017C" w:rsidR="001256D4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 сьогоднішній день, гостро стоїть питання щодо відновлення </w:t>
      </w:r>
      <w:r w:rsidR="00206DFC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206DFC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житлових</w:t>
      </w:r>
      <w:r w:rsidR="00206DFC" w:rsidRPr="00443F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області в результаті чого розроблено відповідну Програму.</w:t>
      </w:r>
      <w:r w:rsidR="003A04DD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710A52" w14:textId="77777777" w:rsidR="003A04DD" w:rsidRPr="00443FA5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443FA5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19 квітня 2022 р. № 473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«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ції наслідків збройної агресії російської ф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».</w:t>
      </w:r>
    </w:p>
    <w:p w14:paraId="1601CA4D" w14:textId="42507F65" w:rsidR="00B20307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4A5309" w14:textId="77777777" w:rsidR="00B20307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сезону,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поліпшуватиме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CEEF6" w14:textId="77777777" w:rsidR="004D244B" w:rsidRPr="00443FA5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6ECCB" w14:textId="0C55F1BD" w:rsidR="00B20307" w:rsidRPr="00443FA5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мети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5827A44B" w14:textId="77777777" w:rsidR="00CE3139" w:rsidRPr="00443FA5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7ABD8" w14:textId="7A3264FB" w:rsidR="00B94BAA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r w:rsidR="006A3D09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будівель </w:t>
      </w:r>
      <w:r w:rsidR="006A3D09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6A3D09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="00B94BAA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бомбардувань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lastRenderedPageBreak/>
        <w:t>матеріалів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відновлювальних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для </w:t>
      </w:r>
      <w:r w:rsidR="00473970" w:rsidRPr="00443FA5">
        <w:rPr>
          <w:rFonts w:ascii="Times New Roman" w:hAnsi="Times New Roman" w:cs="Times New Roman"/>
          <w:sz w:val="28"/>
          <w:szCs w:val="28"/>
          <w:lang w:val="uk-UA"/>
        </w:rPr>
        <w:t>ліквідації аварійного стану та відновлення</w:t>
      </w:r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3F7FA3" w14:textId="3B9873F6" w:rsidR="006067E4" w:rsidRPr="00E562FF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         Приоритетною метою є з</w:t>
      </w:r>
      <w:r w:rsidR="006067E4"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абезпечення 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443FA5">
        <w:rPr>
          <w:rFonts w:ascii="Times New Roman" w:hAnsi="Times New Roman" w:cs="Times New Roman"/>
          <w:spacing w:val="-10"/>
          <w:sz w:val="28"/>
          <w:szCs w:val="28"/>
          <w:lang w:val="uk-UA"/>
        </w:rPr>
        <w:t>Авангардівської громади, тривалого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людей у захисних спорудах </w:t>
      </w:r>
      <w:r w:rsidR="006067E4" w:rsidRPr="00443FA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цивільного захисту  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443FA5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>IV</w:t>
      </w:r>
      <w:r w:rsidRPr="0044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443FA5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sz w:val="28"/>
          <w:szCs w:val="28"/>
          <w:lang w:val="uk-UA"/>
        </w:rPr>
        <w:t>обсягів та джерел фінансування; строки та етапи виконання Програми</w:t>
      </w:r>
      <w:r w:rsidR="00D517B5" w:rsidRPr="00443F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6A2685A" w14:textId="77777777" w:rsidR="003B5592" w:rsidRPr="00E562FF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B020D5B" w14:textId="0BE81073" w:rsidR="00F86443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443F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proofErr w:type="spellEnd"/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будівель </w:t>
      </w:r>
      <w:r w:rsidR="005C5135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житлових, багатоквартирних будинків та прибудинкових споруд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жителів </w:t>
      </w:r>
      <w:r w:rsidR="00F86443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Формування заходів Програми здійснюватиметься</w:t>
      </w:r>
      <w:r w:rsidR="0033491D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інформації комісії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443FA5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443FA5">
        <w:rPr>
          <w:rFonts w:ascii="Times New Roman" w:hAnsi="Times New Roman" w:cs="Times New Roman"/>
          <w:sz w:val="28"/>
          <w:szCs w:val="28"/>
          <w:lang w:val="uk-UA"/>
        </w:rPr>
        <w:t>.) щодо потреби з відновлення житла.</w:t>
      </w:r>
    </w:p>
    <w:p w14:paraId="3C401B85" w14:textId="77777777" w:rsidR="00D378C3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36A52A62" w:rsidR="004D01C6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Pr="00443FA5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443F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57D58D" w14:textId="77777777" w:rsidR="00734571" w:rsidRPr="00443FA5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B4F9C9" w14:textId="77777777" w:rsidR="00382F93" w:rsidRPr="00443FA5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виконання заходів з відновлення </w:t>
      </w:r>
      <w:r w:rsidR="001450B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1450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</w:t>
      </w:r>
      <w:r w:rsidR="001450B7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та </w:t>
      </w:r>
      <w:r w:rsidR="001450B7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 результаті бойових дій на території </w:t>
      </w:r>
      <w:r w:rsidR="00747DF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громади: </w:t>
      </w:r>
    </w:p>
    <w:p w14:paraId="1594623A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коштів Державного бюджету України (у разі відповідних надходжень); </w:t>
      </w:r>
      <w:r w:rsidR="00747DF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4F9BC0C" w14:textId="7889079C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місцевого бюджету; </w:t>
      </w:r>
    </w:p>
    <w:p w14:paraId="33077CEE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підприємств; </w:t>
      </w:r>
    </w:p>
    <w:p w14:paraId="4A6C2F44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анується здійснити протягом </w:t>
      </w:r>
      <w:r w:rsidR="00424C60" w:rsidRPr="00443FA5">
        <w:rPr>
          <w:rFonts w:ascii="Times New Roman" w:hAnsi="Times New Roman" w:cs="Times New Roman"/>
          <w:sz w:val="28"/>
          <w:szCs w:val="28"/>
          <w:lang w:val="uk-UA"/>
        </w:rPr>
        <w:t>2024 року.</w:t>
      </w:r>
    </w:p>
    <w:p w14:paraId="4D40851E" w14:textId="597421CB" w:rsidR="0058169E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бюджетного року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15444" w14:textId="77777777" w:rsidR="003C7BC4" w:rsidRPr="00443FA5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DD83A" w14:textId="77777777" w:rsidR="0073686B" w:rsidRPr="00443FA5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напрямів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) і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14:paraId="287A0D43" w14:textId="118699BC" w:rsidR="0058169E" w:rsidRPr="00443FA5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результативні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показники</w:t>
      </w:r>
      <w:proofErr w:type="spellEnd"/>
    </w:p>
    <w:p w14:paraId="73C46C14" w14:textId="77777777" w:rsidR="006A1A6A" w:rsidRPr="00E562FF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1484B96" w14:textId="77777777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3C384DAA" w14:textId="77777777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14:paraId="7130A0A0" w14:textId="2CD3C792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AEE679" w14:textId="77777777" w:rsidR="00D8432D" w:rsidRPr="00443FA5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2B7FE" w14:textId="201498EF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D8432D" w:rsidRPr="00443FA5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661AC830" w14:textId="77777777" w:rsidR="004C001F" w:rsidRPr="00443FA5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І. </w:t>
      </w:r>
      <w:r w:rsidRPr="00443FA5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виконання заходів цивільного захисту</w:t>
      </w:r>
    </w:p>
    <w:p w14:paraId="2C7ED49F" w14:textId="77777777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нежитлових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сховищ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8AFA2EB" w14:textId="77777777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  Е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443FA5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443FA5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ACA2A" w14:textId="77777777" w:rsidR="00CC3830" w:rsidRPr="00443FA5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Підтримка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належного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технічного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стану </w:t>
      </w:r>
      <w:r w:rsidRPr="00443FA5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об’єктів соціальної та критичної інфраструктури та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житлових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будинків</w:t>
      </w:r>
      <w:proofErr w:type="spellEnd"/>
    </w:p>
    <w:p w14:paraId="215BC662" w14:textId="0837463C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- придбання будівельних матеріалів</w:t>
      </w:r>
      <w:r w:rsidR="0079659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594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(ЮСБ, фанера, плівка, деревина, шифер, цвяхи, саморізи та інші будівельні матеріали)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, виконання будівельних ро</w:t>
      </w:r>
      <w:r w:rsidR="009C4F4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біт для відновлення пошкоджених будівель </w:t>
      </w:r>
      <w:r w:rsidR="009C4F45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9C4F45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="00693550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</w:t>
      </w:r>
      <w:r w:rsidR="008259FF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1B7662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95289D" w14:textId="35C3E1E0" w:rsidR="00782B04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Програми відновлення </w:t>
      </w:r>
      <w:r w:rsidR="0030102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30102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301027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внаслідок бойових дій на території </w:t>
      </w:r>
      <w:r w:rsidR="00B559E3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7D0772" w:rsidRPr="00443FA5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="00393E2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32EB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наведено у додатку 1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 </w:t>
      </w:r>
    </w:p>
    <w:p w14:paraId="3C014701" w14:textId="3C93D8F7" w:rsidR="00F26D86" w:rsidRPr="00443FA5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Результативні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н</w:t>
      </w:r>
      <w:r w:rsidR="007953A1" w:rsidRPr="00443FA5">
        <w:rPr>
          <w:rFonts w:ascii="Times New Roman" w:hAnsi="Times New Roman" w:cs="Times New Roman"/>
          <w:sz w:val="28"/>
          <w:szCs w:val="28"/>
        </w:rPr>
        <w:t xml:space="preserve">аведено в </w:t>
      </w:r>
      <w:proofErr w:type="spellStart"/>
      <w:r w:rsidR="007953A1" w:rsidRPr="00443FA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7953A1" w:rsidRPr="00443FA5">
        <w:rPr>
          <w:rFonts w:ascii="Times New Roman" w:hAnsi="Times New Roman" w:cs="Times New Roman"/>
          <w:sz w:val="28"/>
          <w:szCs w:val="28"/>
        </w:rPr>
        <w:t xml:space="preserve"> 1</w:t>
      </w:r>
      <w:r w:rsidRPr="00443F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4C3360" w14:textId="77777777" w:rsidR="0066067B" w:rsidRPr="00443FA5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16CC41" w14:textId="3B84D872" w:rsidR="007945A5" w:rsidRPr="00443FA5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</w:p>
    <w:p w14:paraId="727053D8" w14:textId="77777777" w:rsidR="0060164A" w:rsidRPr="00443FA5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D8F65F" w14:textId="77777777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F3F800" w14:textId="77777777" w:rsidR="00BE3D9E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r w:rsidR="00BE3D9E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BE3D9E"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>;</w:t>
      </w:r>
    </w:p>
    <w:p w14:paraId="5946302E" w14:textId="77777777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FEC703" w14:textId="327DD5E0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стану благоустрою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44061" w14:textId="77777777" w:rsidR="00032BE6" w:rsidRPr="00443FA5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У результаті виконання Програми очікується:</w:t>
      </w:r>
    </w:p>
    <w:p w14:paraId="0A1FAAE4" w14:textId="5F3C8D14" w:rsidR="005B3851" w:rsidRPr="00443FA5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B3851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-</w:t>
      </w: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ab/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443FA5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443FA5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1E5B7" w14:textId="4EC44F1C" w:rsidR="001406EC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VII.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Координація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та контроль за ходом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1BD710" w14:textId="77777777" w:rsidR="00945FE6" w:rsidRPr="00443FA5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2E475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443FA5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lang w:val="uk-UA"/>
          </w:rPr>
          <w:t>http://avangard.odessa.gov.ua/</w:t>
        </w:r>
      </w:hyperlink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</w:p>
    <w:p w14:paraId="5FFCA567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A62468B" w14:textId="77777777" w:rsidR="00745FDA" w:rsidRPr="00443FA5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8630FF0" w14:textId="41FD3707" w:rsidR="005B3851" w:rsidRPr="00443FA5" w:rsidRDefault="00745FDA" w:rsidP="00855E2B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                 </w:t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Валентина ЩУР</w:t>
      </w:r>
    </w:p>
    <w:p w14:paraId="7AAF4275" w14:textId="42A52CC8" w:rsidR="00817E89" w:rsidRPr="00E562FF" w:rsidRDefault="00817E89" w:rsidP="00855E2B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817E89" w:rsidRPr="00E562FF" w:rsidSect="00D64DCB">
      <w:pgSz w:w="11906" w:h="16838"/>
      <w:pgMar w:top="568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36DC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20F1"/>
    <w:rsid w:val="00055FE8"/>
    <w:rsid w:val="00056BE2"/>
    <w:rsid w:val="00057690"/>
    <w:rsid w:val="0005769C"/>
    <w:rsid w:val="00070AD3"/>
    <w:rsid w:val="00070D6A"/>
    <w:rsid w:val="000726A9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D525E"/>
    <w:rsid w:val="000D556E"/>
    <w:rsid w:val="000D55B4"/>
    <w:rsid w:val="000D6C2F"/>
    <w:rsid w:val="000E113A"/>
    <w:rsid w:val="000E1ADF"/>
    <w:rsid w:val="000E4D1E"/>
    <w:rsid w:val="000F3521"/>
    <w:rsid w:val="00101F7B"/>
    <w:rsid w:val="00104BD9"/>
    <w:rsid w:val="001169B9"/>
    <w:rsid w:val="001224DB"/>
    <w:rsid w:val="001256D4"/>
    <w:rsid w:val="00132BDB"/>
    <w:rsid w:val="001368E2"/>
    <w:rsid w:val="001406EC"/>
    <w:rsid w:val="001450B7"/>
    <w:rsid w:val="00147A88"/>
    <w:rsid w:val="0016180C"/>
    <w:rsid w:val="00162AC4"/>
    <w:rsid w:val="00164DCC"/>
    <w:rsid w:val="00171C71"/>
    <w:rsid w:val="00172656"/>
    <w:rsid w:val="00175736"/>
    <w:rsid w:val="001811F0"/>
    <w:rsid w:val="00182494"/>
    <w:rsid w:val="0018407B"/>
    <w:rsid w:val="001907FB"/>
    <w:rsid w:val="00196904"/>
    <w:rsid w:val="001A0B1C"/>
    <w:rsid w:val="001A25A5"/>
    <w:rsid w:val="001A72A6"/>
    <w:rsid w:val="001B1667"/>
    <w:rsid w:val="001B5A96"/>
    <w:rsid w:val="001B7662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60D9B"/>
    <w:rsid w:val="002618BA"/>
    <w:rsid w:val="0026485A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52C1"/>
    <w:rsid w:val="00295AFA"/>
    <w:rsid w:val="0029790C"/>
    <w:rsid w:val="002B0865"/>
    <w:rsid w:val="002B5112"/>
    <w:rsid w:val="002C2236"/>
    <w:rsid w:val="002C2BAA"/>
    <w:rsid w:val="002C3781"/>
    <w:rsid w:val="002C7F57"/>
    <w:rsid w:val="002D4507"/>
    <w:rsid w:val="002D52D0"/>
    <w:rsid w:val="002D5A9D"/>
    <w:rsid w:val="002D74F3"/>
    <w:rsid w:val="002E18B1"/>
    <w:rsid w:val="002E46F7"/>
    <w:rsid w:val="002F60D8"/>
    <w:rsid w:val="002F6D66"/>
    <w:rsid w:val="00301027"/>
    <w:rsid w:val="003020BA"/>
    <w:rsid w:val="003033F5"/>
    <w:rsid w:val="00303C42"/>
    <w:rsid w:val="0031240D"/>
    <w:rsid w:val="003173F5"/>
    <w:rsid w:val="00321391"/>
    <w:rsid w:val="0033491D"/>
    <w:rsid w:val="00336C10"/>
    <w:rsid w:val="00345DE4"/>
    <w:rsid w:val="003607BF"/>
    <w:rsid w:val="00364145"/>
    <w:rsid w:val="003713E5"/>
    <w:rsid w:val="00382F9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BE5"/>
    <w:rsid w:val="003B3955"/>
    <w:rsid w:val="003B5592"/>
    <w:rsid w:val="003C1070"/>
    <w:rsid w:val="003C4A32"/>
    <w:rsid w:val="003C6E39"/>
    <w:rsid w:val="003C7BC4"/>
    <w:rsid w:val="003D7B48"/>
    <w:rsid w:val="003E02E2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4721"/>
    <w:rsid w:val="00420E56"/>
    <w:rsid w:val="00424C60"/>
    <w:rsid w:val="00443FA5"/>
    <w:rsid w:val="00445F1B"/>
    <w:rsid w:val="0045321D"/>
    <w:rsid w:val="004539DE"/>
    <w:rsid w:val="00455442"/>
    <w:rsid w:val="0045714D"/>
    <w:rsid w:val="00457351"/>
    <w:rsid w:val="00462CF9"/>
    <w:rsid w:val="00473970"/>
    <w:rsid w:val="00475995"/>
    <w:rsid w:val="00483D49"/>
    <w:rsid w:val="004A2F18"/>
    <w:rsid w:val="004B4D0F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7219"/>
    <w:rsid w:val="0050571D"/>
    <w:rsid w:val="005108B7"/>
    <w:rsid w:val="00511FD7"/>
    <w:rsid w:val="00514A73"/>
    <w:rsid w:val="00515EF4"/>
    <w:rsid w:val="0051657B"/>
    <w:rsid w:val="005218E7"/>
    <w:rsid w:val="00522E5C"/>
    <w:rsid w:val="005320D0"/>
    <w:rsid w:val="00532EB3"/>
    <w:rsid w:val="005358BD"/>
    <w:rsid w:val="00540A87"/>
    <w:rsid w:val="00557A7F"/>
    <w:rsid w:val="00563AE4"/>
    <w:rsid w:val="0057443A"/>
    <w:rsid w:val="00574A70"/>
    <w:rsid w:val="0058169E"/>
    <w:rsid w:val="005843DF"/>
    <w:rsid w:val="005870B6"/>
    <w:rsid w:val="005A3E69"/>
    <w:rsid w:val="005A4AAA"/>
    <w:rsid w:val="005B3851"/>
    <w:rsid w:val="005B7571"/>
    <w:rsid w:val="005C150D"/>
    <w:rsid w:val="005C1684"/>
    <w:rsid w:val="005C5135"/>
    <w:rsid w:val="005D2AAB"/>
    <w:rsid w:val="005D2B01"/>
    <w:rsid w:val="005D3677"/>
    <w:rsid w:val="005D5E74"/>
    <w:rsid w:val="005E3597"/>
    <w:rsid w:val="005F098D"/>
    <w:rsid w:val="005F2C41"/>
    <w:rsid w:val="0060164A"/>
    <w:rsid w:val="006047DD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A1018"/>
    <w:rsid w:val="006A1A6A"/>
    <w:rsid w:val="006A21D0"/>
    <w:rsid w:val="006A3D09"/>
    <w:rsid w:val="006B626D"/>
    <w:rsid w:val="006C3176"/>
    <w:rsid w:val="006D5E7C"/>
    <w:rsid w:val="006E667B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4571"/>
    <w:rsid w:val="0073573D"/>
    <w:rsid w:val="00735754"/>
    <w:rsid w:val="0073686B"/>
    <w:rsid w:val="0074277B"/>
    <w:rsid w:val="00745FDA"/>
    <w:rsid w:val="00747DFB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6A4"/>
    <w:rsid w:val="007C60EA"/>
    <w:rsid w:val="007C733C"/>
    <w:rsid w:val="007D0772"/>
    <w:rsid w:val="007D5808"/>
    <w:rsid w:val="007E12DB"/>
    <w:rsid w:val="007F16F0"/>
    <w:rsid w:val="00801F94"/>
    <w:rsid w:val="0080404C"/>
    <w:rsid w:val="0080407B"/>
    <w:rsid w:val="00810DC7"/>
    <w:rsid w:val="00817E89"/>
    <w:rsid w:val="00820F56"/>
    <w:rsid w:val="008229DE"/>
    <w:rsid w:val="008259FF"/>
    <w:rsid w:val="008330C2"/>
    <w:rsid w:val="00842463"/>
    <w:rsid w:val="00855E2B"/>
    <w:rsid w:val="00857D12"/>
    <w:rsid w:val="00863796"/>
    <w:rsid w:val="008652C5"/>
    <w:rsid w:val="00866DCB"/>
    <w:rsid w:val="0086768D"/>
    <w:rsid w:val="00871687"/>
    <w:rsid w:val="00871784"/>
    <w:rsid w:val="00881331"/>
    <w:rsid w:val="008813E6"/>
    <w:rsid w:val="0089044D"/>
    <w:rsid w:val="00895080"/>
    <w:rsid w:val="0089526D"/>
    <w:rsid w:val="008A1F0F"/>
    <w:rsid w:val="008B161D"/>
    <w:rsid w:val="008B3394"/>
    <w:rsid w:val="008B36B2"/>
    <w:rsid w:val="008B3CAD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627E"/>
    <w:rsid w:val="00916785"/>
    <w:rsid w:val="00921390"/>
    <w:rsid w:val="009215C9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5021"/>
    <w:rsid w:val="009646AE"/>
    <w:rsid w:val="0096739F"/>
    <w:rsid w:val="009729D1"/>
    <w:rsid w:val="009735EF"/>
    <w:rsid w:val="00980F1B"/>
    <w:rsid w:val="0098784C"/>
    <w:rsid w:val="00996E41"/>
    <w:rsid w:val="009A093B"/>
    <w:rsid w:val="009A1400"/>
    <w:rsid w:val="009A66AD"/>
    <w:rsid w:val="009A769C"/>
    <w:rsid w:val="009B4992"/>
    <w:rsid w:val="009C1FDD"/>
    <w:rsid w:val="009C4F45"/>
    <w:rsid w:val="009C7D4C"/>
    <w:rsid w:val="009D3F6A"/>
    <w:rsid w:val="009E3078"/>
    <w:rsid w:val="00A124F7"/>
    <w:rsid w:val="00A139B4"/>
    <w:rsid w:val="00A21BCE"/>
    <w:rsid w:val="00A233B6"/>
    <w:rsid w:val="00A23B0F"/>
    <w:rsid w:val="00A27134"/>
    <w:rsid w:val="00A306C1"/>
    <w:rsid w:val="00A3162A"/>
    <w:rsid w:val="00A4212D"/>
    <w:rsid w:val="00A6310F"/>
    <w:rsid w:val="00A7150A"/>
    <w:rsid w:val="00A729A1"/>
    <w:rsid w:val="00AA296C"/>
    <w:rsid w:val="00AA3F0F"/>
    <w:rsid w:val="00AA746F"/>
    <w:rsid w:val="00AB1776"/>
    <w:rsid w:val="00AB29BE"/>
    <w:rsid w:val="00AB527D"/>
    <w:rsid w:val="00AC042C"/>
    <w:rsid w:val="00AD1A11"/>
    <w:rsid w:val="00AD3A5F"/>
    <w:rsid w:val="00AE4786"/>
    <w:rsid w:val="00AF03D5"/>
    <w:rsid w:val="00AF42EC"/>
    <w:rsid w:val="00AF4C66"/>
    <w:rsid w:val="00B13510"/>
    <w:rsid w:val="00B1397D"/>
    <w:rsid w:val="00B20307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E3"/>
    <w:rsid w:val="00B621BE"/>
    <w:rsid w:val="00B7050C"/>
    <w:rsid w:val="00B76853"/>
    <w:rsid w:val="00B77B5D"/>
    <w:rsid w:val="00B802B0"/>
    <w:rsid w:val="00B820B6"/>
    <w:rsid w:val="00B90FFB"/>
    <w:rsid w:val="00B917F4"/>
    <w:rsid w:val="00B91B98"/>
    <w:rsid w:val="00B943DF"/>
    <w:rsid w:val="00B94BAA"/>
    <w:rsid w:val="00BA5832"/>
    <w:rsid w:val="00BB3538"/>
    <w:rsid w:val="00BB39E4"/>
    <w:rsid w:val="00BC663C"/>
    <w:rsid w:val="00BC7368"/>
    <w:rsid w:val="00BD01F3"/>
    <w:rsid w:val="00BD096D"/>
    <w:rsid w:val="00BD2DF8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6403C"/>
    <w:rsid w:val="00C67B77"/>
    <w:rsid w:val="00C74533"/>
    <w:rsid w:val="00C7754F"/>
    <w:rsid w:val="00C84DF7"/>
    <w:rsid w:val="00C8655F"/>
    <w:rsid w:val="00C96031"/>
    <w:rsid w:val="00C96DDC"/>
    <w:rsid w:val="00CB3E70"/>
    <w:rsid w:val="00CC100B"/>
    <w:rsid w:val="00CC3830"/>
    <w:rsid w:val="00CC5A4B"/>
    <w:rsid w:val="00CC6C3E"/>
    <w:rsid w:val="00CC7544"/>
    <w:rsid w:val="00CD1292"/>
    <w:rsid w:val="00CD4AF4"/>
    <w:rsid w:val="00CD5F4B"/>
    <w:rsid w:val="00CE2AAC"/>
    <w:rsid w:val="00CE2ED4"/>
    <w:rsid w:val="00CE3139"/>
    <w:rsid w:val="00CF01DA"/>
    <w:rsid w:val="00CF5F55"/>
    <w:rsid w:val="00D004C3"/>
    <w:rsid w:val="00D069D7"/>
    <w:rsid w:val="00D1126B"/>
    <w:rsid w:val="00D37098"/>
    <w:rsid w:val="00D3754D"/>
    <w:rsid w:val="00D378C3"/>
    <w:rsid w:val="00D40CA0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4DCB"/>
    <w:rsid w:val="00D67F74"/>
    <w:rsid w:val="00D72825"/>
    <w:rsid w:val="00D74EC8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297"/>
    <w:rsid w:val="00DE4A9E"/>
    <w:rsid w:val="00DF3447"/>
    <w:rsid w:val="00DF63D1"/>
    <w:rsid w:val="00DF6448"/>
    <w:rsid w:val="00E03E63"/>
    <w:rsid w:val="00E05144"/>
    <w:rsid w:val="00E079B6"/>
    <w:rsid w:val="00E10999"/>
    <w:rsid w:val="00E1161E"/>
    <w:rsid w:val="00E119AE"/>
    <w:rsid w:val="00E15894"/>
    <w:rsid w:val="00E20612"/>
    <w:rsid w:val="00E25239"/>
    <w:rsid w:val="00E330D3"/>
    <w:rsid w:val="00E4575C"/>
    <w:rsid w:val="00E50861"/>
    <w:rsid w:val="00E514CD"/>
    <w:rsid w:val="00E556F2"/>
    <w:rsid w:val="00E562FF"/>
    <w:rsid w:val="00E56FB0"/>
    <w:rsid w:val="00E57F78"/>
    <w:rsid w:val="00E63906"/>
    <w:rsid w:val="00E760F7"/>
    <w:rsid w:val="00E825D3"/>
    <w:rsid w:val="00E86EFF"/>
    <w:rsid w:val="00E93773"/>
    <w:rsid w:val="00EB551D"/>
    <w:rsid w:val="00EB6345"/>
    <w:rsid w:val="00EC24C1"/>
    <w:rsid w:val="00EC7B58"/>
    <w:rsid w:val="00ED122A"/>
    <w:rsid w:val="00ED3586"/>
    <w:rsid w:val="00ED4639"/>
    <w:rsid w:val="00ED7833"/>
    <w:rsid w:val="00EE0211"/>
    <w:rsid w:val="00EE1B7B"/>
    <w:rsid w:val="00F0353E"/>
    <w:rsid w:val="00F059D3"/>
    <w:rsid w:val="00F06BB6"/>
    <w:rsid w:val="00F06C65"/>
    <w:rsid w:val="00F179E5"/>
    <w:rsid w:val="00F225BC"/>
    <w:rsid w:val="00F23811"/>
    <w:rsid w:val="00F26D86"/>
    <w:rsid w:val="00F26DDB"/>
    <w:rsid w:val="00F31A7B"/>
    <w:rsid w:val="00F33330"/>
    <w:rsid w:val="00F34625"/>
    <w:rsid w:val="00F3558B"/>
    <w:rsid w:val="00F37B3D"/>
    <w:rsid w:val="00F4493A"/>
    <w:rsid w:val="00F50DBE"/>
    <w:rsid w:val="00F540AF"/>
    <w:rsid w:val="00F600A9"/>
    <w:rsid w:val="00F601D5"/>
    <w:rsid w:val="00F6168E"/>
    <w:rsid w:val="00F672FE"/>
    <w:rsid w:val="00F711E6"/>
    <w:rsid w:val="00F727E2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49D8"/>
    <w:rsid w:val="00F95BEA"/>
    <w:rsid w:val="00F97DD3"/>
    <w:rsid w:val="00FA1B8D"/>
    <w:rsid w:val="00FA3301"/>
    <w:rsid w:val="00FA56E3"/>
    <w:rsid w:val="00FB58E3"/>
    <w:rsid w:val="00FB6639"/>
    <w:rsid w:val="00FC1740"/>
    <w:rsid w:val="00FC28EB"/>
    <w:rsid w:val="00FC611D"/>
    <w:rsid w:val="00FC6E45"/>
    <w:rsid w:val="00FC7274"/>
    <w:rsid w:val="00FD157D"/>
    <w:rsid w:val="00FD198A"/>
    <w:rsid w:val="00FD227E"/>
    <w:rsid w:val="00FD5443"/>
    <w:rsid w:val="00FD7059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A387-6FCC-40F8-BFAE-2BF4513A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2025-12-01T15:27:00Z</cp:lastPrinted>
  <dcterms:created xsi:type="dcterms:W3CDTF">2025-12-10T16:50:00Z</dcterms:created>
  <dcterms:modified xsi:type="dcterms:W3CDTF">2025-12-22T10:34:00Z</dcterms:modified>
</cp:coreProperties>
</file>