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200" w:line="276" w:lineRule="auto"/>
        <w:jc w:val="center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0" distT="0" distL="0" distR="0">
            <wp:extent cx="460621" cy="72390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0621" cy="723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2dad"/>
          <w:sz w:val="24"/>
          <w:szCs w:val="24"/>
          <w:rtl w:val="0"/>
        </w:rPr>
        <w:t xml:space="preserve">У К Р А Ї Н А</w:t>
      </w:r>
    </w:p>
    <w:p w:rsidR="00000000" w:rsidDel="00000000" w:rsidP="00000000" w:rsidRDefault="00000000" w:rsidRPr="00000000" w14:paraId="00000003">
      <w:pPr>
        <w:keepNext w:val="1"/>
        <w:widowControl w:val="1"/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jc w:val="center"/>
        <w:rPr>
          <w:rFonts w:ascii="Times New Roman" w:cs="Times New Roman" w:eastAsia="Times New Roman" w:hAnsi="Times New Roman"/>
          <w:color w:val="0f2da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f2dad"/>
          <w:sz w:val="28"/>
          <w:szCs w:val="28"/>
          <w:rtl w:val="0"/>
        </w:rPr>
        <w:t xml:space="preserve">АВАНГАРДІВСЬКА СЕЛИЩНА РАДА</w:t>
      </w:r>
    </w:p>
    <w:p w:rsidR="00000000" w:rsidDel="00000000" w:rsidP="00000000" w:rsidRDefault="00000000" w:rsidRPr="00000000" w14:paraId="00000005">
      <w:pPr>
        <w:widowControl w:val="1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color w:val="0f2dad"/>
          <w:sz w:val="28"/>
          <w:szCs w:val="28"/>
          <w:rtl w:val="0"/>
        </w:rPr>
        <w:t xml:space="preserve">ОДЕСЬКОГО РАЙОНУ ОДЕСЬКОЇ ОБЛАСТІ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2dad"/>
          <w:sz w:val="28"/>
          <w:szCs w:val="28"/>
          <w:rtl w:val="0"/>
        </w:rPr>
        <w:t xml:space="preserve">ВИКОНАВЧИЙ КОМІТЕТ</w:t>
      </w:r>
    </w:p>
    <w:p w:rsidR="00000000" w:rsidDel="00000000" w:rsidP="00000000" w:rsidRDefault="00000000" w:rsidRPr="00000000" w14:paraId="00000008">
      <w:pPr>
        <w:keepNext w:val="1"/>
        <w:widowControl w:val="1"/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widowControl w:val="1"/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2dad"/>
          <w:sz w:val="32"/>
          <w:szCs w:val="32"/>
          <w:rtl w:val="0"/>
        </w:rPr>
        <w:t xml:space="preserve">Р І Ш Е Н Н 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ind w:right="148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648.0" w:type="dxa"/>
        <w:jc w:val="left"/>
        <w:tblInd w:w="-118.0" w:type="dxa"/>
        <w:tblLayout w:type="fixed"/>
        <w:tblLook w:val="0000"/>
      </w:tblPr>
      <w:tblGrid>
        <w:gridCol w:w="5648"/>
        <w:tblGridChange w:id="0">
          <w:tblGrid>
            <w:gridCol w:w="5648"/>
          </w:tblGrid>
        </w:tblGridChange>
      </w:tblGrid>
      <w:tr>
        <w:trPr>
          <w:cantSplit w:val="0"/>
          <w:trHeight w:val="1785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48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ind w:right="-82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 надання дозволу ФОП Гуменюк В.С. на розміщення тимчасових споруд (у кількості 2-х шт) для здійснення підприємницької діяльності</w:t>
            </w:r>
          </w:p>
        </w:tc>
      </w:tr>
    </w:tbl>
    <w:p w:rsidR="00000000" w:rsidDel="00000000" w:rsidP="00000000" w:rsidRDefault="00000000" w:rsidRPr="00000000" w14:paraId="0000000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 w:firstLine="720"/>
        <w:jc w:val="both"/>
        <w:rPr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Розглянувши заяву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ФОП Гуменюк В.С.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щодо можливості розміщення тимчасов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споруд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(у кількості 2-х шт)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для здійснення підприємницької діяльності за напрямом –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роздрібна торгівля товарами повсякденного попиту, за адресою: Одеська область, Одеський район, с-ще Хлібодарське, по вул. Маяцька дорога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враховуючи доповідну записку начальника Відділу містобудування та архітектури Виконавчого органу Авангардівської селищної ради Гудзікевича В.М.,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керуючись положеннями Закону України «Про місцеве самоврядування в Україні», ст. 28 Закону України  «Про регулювання містобудівної діяльності», Порядком розміщення тимчасових споруд для провадження підприємницької діяльності, затвердженим наказом Міністерства регіонального розвитку, будівництва та житлово-комунального господарства України від 21.10.2011 № 244 (із змінами, внесеними згідно з наказом Міністерства розвитку громад та територій № 284 від 23.11.2020), Порядком розміщення тимчасових споруд на території Авангардівської селищної ради, затвердженим рішенням  Авангардівської селищної ради № 590-VI від 26.01.2017 (із змінами, затвердженими рішенням Авангардівської селищної ради № 437-VІІI від 08.04.2021), Виконавчий комітет Авангардівської селищної ради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ВИРІШИВ: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right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0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righ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 Надати дозвіл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ФОП Гуменюк В.С.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 розміщення тимчасов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спору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 (у кількості 2-х шт)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для здійснення підприємницької діяльності за напрямом –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роздрібна торгівля товарами повсякденного попиту, за адресою: Одеська область, Одеський район, с-ще Хлібодарське, по вул. Маяцька дорога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284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ind w:right="0"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 Зобов’язати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ФОП Гуменюк В.С.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1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2.1.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звернутись до суб’єкта господарювання, який має у своєму складі архітектора, що має кваліфікаційний сертифікат, або архітектора, який має відповідний кваліфікаційний сертифікат, з метою підготовки пакету документів, визначених пунктом 2.6. Порядку розміщення тимчасових  споруд </w:t>
      </w:r>
    </w:p>
    <w:p w:rsidR="00000000" w:rsidDel="00000000" w:rsidP="00000000" w:rsidRDefault="00000000" w:rsidRPr="00000000" w14:paraId="0000001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№ 403</w:t>
      </w:r>
    </w:p>
    <w:p w:rsidR="00000000" w:rsidDel="00000000" w:rsidP="00000000" w:rsidRDefault="00000000" w:rsidRPr="00000000" w14:paraId="00000014">
      <w:pPr>
        <w:widowControl w:val="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від 24.11.2025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0" w:firstLine="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провадження підприємницької діяльності, затвердженим наказом Міністерства регіонального розвитку, будівництва та житлово-комунального господарства України від 21.10.2011 № 244 (із змінами, внесеними згідно з наказом Міністерства розвитку громад та територій № 284 від 23.11.2020), з обов’язковим урахуванням всіх наявних планувальних обмежень, передбачених державними будівельними нормами та правилами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right="0" w:firstLine="708"/>
        <w:jc w:val="both"/>
        <w:rPr>
          <w:color w:val="000000"/>
        </w:rPr>
      </w:pPr>
      <w:bookmarkStart w:colFirst="0" w:colLast="0" w:name="_heading=h.wffqyz1uhd7j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2.2. подати до Відділу містобудування та архітектури Виконавчого органу Авангардівської селищної ради повний пакет документів, визначених пунктом 2.6. Порядку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розміщення тимчасових споруд для провадження підприємницької діяльності, затвердженим наказом Міністерства регіонального розвитку, будівництва та житлово-комунального господарства України від 21.10.2011 № 244 (із змінами, внесеними згідно з наказом Міністерства розвитку громад та територій № 284 від 23.11.2020),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для оформлення та затвердження паспорту прив’язки тимчасов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споруд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(у кількості 2-х шт)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за вищевказаною адресою;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59" w:lineRule="auto"/>
        <w:ind w:right="0"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2.3. проведення робіт з благоустрою прилеглої території тимчасов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споруд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(у кількості 2-х шт)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здійснення підприємницької діяльності за вищевказаною адресою здійснити з урахуванням: озелененням прилеглої території; замощення прилеглої території тротуарною плиткою; розміщення клумб та малих архітектурних форм; інших елементів зовнішнього благоустрою, та підтримувати у подальшому її належний  експлуатаційний  стан з обов’язковим дотриманням положень Правил благоустрою території населених пунктів Авангардівської селищної ради, затверджених рішенням Авангардівської селищної ради від 23.11.2021 № 939-VІІІ (із змінами, затвердженими рішенням  Авангардівської селищної ради № 2383-VІІI від 01.12.2023)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284"/>
        </w:tabs>
        <w:ind w:righ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 Контроль за виконанням цього рішення покласти на Відділ містобудування та архітектури Виконавчого органу Авангардівської селищної ради.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284"/>
        </w:tabs>
        <w:ind w:righ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right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right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Селищний голова                                                     Сергій ХРУСТОВСЬКИЙ</w:t>
      </w:r>
    </w:p>
    <w:p w:rsidR="00000000" w:rsidDel="00000000" w:rsidP="00000000" w:rsidRDefault="00000000" w:rsidRPr="00000000" w14:paraId="0000001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right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№ 403</w:t>
      </w:r>
    </w:p>
    <w:p w:rsidR="00000000" w:rsidDel="00000000" w:rsidP="00000000" w:rsidRDefault="00000000" w:rsidRPr="00000000" w14:paraId="0000001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від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24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.1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.202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84" w:top="566" w:left="1700" w:right="7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bCs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rFonts w:ascii="Arial" w:cs="Arial" w:eastAsia="Arial" w:hAnsi="Arial"/>
      <w:b w:val="1"/>
      <w:bCs w:val="1"/>
      <w:color w:val="000000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bCs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bCs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bCs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Outline" w:customStyle="1">
    <w:name w:val="Outline"/>
    <w:basedOn w:val="a2"/>
  </w:style>
  <w:style w:type="paragraph" w:styleId="Standard" w:customStyle="1">
    <w:name w:val="Standard"/>
    <w:pPr>
      <w:widowControl w:val="1"/>
      <w:spacing w:after="160" w:line="259" w:lineRule="auto"/>
    </w:pPr>
    <w:rPr>
      <w:lang w:eastAsia="en-US"/>
    </w:r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Arial" w:cs="Arial" w:eastAsia="Microsoft YaHei" w:hAnsi="Arial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a4">
    <w:name w:val="List"/>
    <w:basedOn w:val="Textbody"/>
    <w:rPr>
      <w:rFonts w:cs="Arial"/>
    </w:rPr>
  </w:style>
  <w:style w:type="paragraph" w:styleId="a5">
    <w:name w:val="caption"/>
    <w:basedOn w:val="Standard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x" w:customStyle="1">
    <w:name w:val="Index"/>
    <w:basedOn w:val="Standard"/>
    <w:pPr>
      <w:suppressLineNumbers w:val="1"/>
    </w:pPr>
    <w:rPr>
      <w:rFonts w:cs="Arial"/>
    </w:rPr>
  </w:style>
  <w:style w:type="paragraph" w:styleId="a6" w:customStyle="1">
    <w:name w:val="Договор"/>
    <w:basedOn w:val="Standard"/>
    <w:pPr>
      <w:tabs>
        <w:tab w:val="left" w:pos="284"/>
      </w:tabs>
      <w:spacing w:after="0" w:line="240" w:lineRule="auto"/>
      <w:ind w:firstLine="567"/>
      <w:jc w:val="both"/>
    </w:pPr>
    <w:rPr>
      <w:rFonts w:ascii="Verdana" w:eastAsia="Times New Roman" w:hAnsi="Verdana"/>
      <w:sz w:val="16"/>
      <w:szCs w:val="20"/>
      <w:lang w:eastAsia="ar-SA"/>
    </w:rPr>
  </w:style>
  <w:style w:type="paragraph" w:styleId="a7">
    <w:name w:val="Balloon Text"/>
    <w:basedOn w:val="Standard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a8">
    <w:name w:val="No Spacing"/>
    <w:pPr>
      <w:widowControl w:val="1"/>
    </w:pPr>
    <w:rPr>
      <w:rFonts w:eastAsia="Times New Roman"/>
    </w:rPr>
  </w:style>
  <w:style w:type="paragraph" w:styleId="31" w:customStyle="1">
    <w:name w:val="Основной текст 31"/>
    <w:basedOn w:val="Standard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ar-SA" w:val="uk-UA"/>
    </w:rPr>
  </w:style>
  <w:style w:type="paragraph" w:styleId="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sz w:val="20"/>
      <w:szCs w:val="20"/>
      <w:lang w:eastAsia="uk-UA" w:val="uk-UA"/>
    </w:rPr>
  </w:style>
  <w:style w:type="paragraph" w:styleId="a9">
    <w:name w:val="List Paragraph"/>
    <w:basedOn w:val="Standard"/>
    <w:pPr>
      <w:ind w:left="720"/>
    </w:pPr>
  </w:style>
  <w:style w:type="paragraph" w:styleId="21" w:customStyle="1">
    <w:name w:val="Основной текст 21"/>
    <w:basedOn w:val="Standard"/>
    <w:pPr>
      <w:spacing w:after="0" w:line="360" w:lineRule="auto"/>
      <w:ind w:firstLine="720"/>
      <w:jc w:val="both"/>
    </w:pPr>
    <w:rPr>
      <w:rFonts w:ascii="Times New Roman CYR" w:eastAsia="Times New Roman" w:hAnsi="Times New Roman CYR"/>
      <w:sz w:val="24"/>
      <w:szCs w:val="20"/>
      <w:lang w:eastAsia="ar-SA"/>
    </w:rPr>
  </w:style>
  <w:style w:type="paragraph" w:styleId="22" w:customStyle="1">
    <w:name w:val="Основной текст 22"/>
    <w:basedOn w:val="Standard"/>
    <w:pPr>
      <w:spacing w:after="0" w:line="360" w:lineRule="auto"/>
      <w:ind w:firstLine="720"/>
      <w:jc w:val="both"/>
    </w:pPr>
    <w:rPr>
      <w:rFonts w:ascii="Times New Roman CYR" w:eastAsia="Times New Roman" w:hAnsi="Times New Roman CYR"/>
      <w:sz w:val="24"/>
      <w:szCs w:val="20"/>
      <w:lang w:eastAsia="ar-SA"/>
    </w:rPr>
  </w:style>
  <w:style w:type="paragraph" w:styleId="Textbodyindent" w:customStyle="1">
    <w:name w:val="Text body indent"/>
    <w:basedOn w:val="Standard"/>
    <w:pPr>
      <w:spacing w:after="0" w:line="360" w:lineRule="auto"/>
      <w:ind w:left="283" w:firstLine="720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styleId="TableContents" w:customStyle="1">
    <w:name w:val="Table Contents"/>
    <w:basedOn w:val="Standard"/>
    <w:pPr>
      <w:suppressLineNumbers w:val="1"/>
    </w:pPr>
  </w:style>
  <w:style w:type="character" w:styleId="30" w:customStyle="1">
    <w:name w:val="Заголовок 3 Знак"/>
    <w:basedOn w:val="a0"/>
    <w:rPr>
      <w:rFonts w:ascii="Arial" w:cs="Arial" w:hAnsi="Arial"/>
      <w:b w:val="1"/>
      <w:bCs w:val="1"/>
      <w:kern w:val="3"/>
      <w:sz w:val="26"/>
      <w:szCs w:val="26"/>
      <w:lang w:bidi="ar-SA" w:eastAsia="ar-SA"/>
    </w:rPr>
  </w:style>
  <w:style w:type="character" w:styleId="aa" w:customStyle="1">
    <w:name w:val="Текст выноски Знак"/>
    <w:basedOn w:val="a0"/>
    <w:rPr>
      <w:rFonts w:ascii="Segoe UI" w:cs="Segoe UI" w:hAnsi="Segoe UI"/>
      <w:sz w:val="18"/>
      <w:szCs w:val="18"/>
    </w:rPr>
  </w:style>
  <w:style w:type="character" w:styleId="Internetlink" w:customStyle="1">
    <w:name w:val="Internet link"/>
    <w:basedOn w:val="a0"/>
    <w:rPr>
      <w:rFonts w:cs="Times New Roman"/>
      <w:color w:val="0563c1"/>
      <w:u w:val="single"/>
    </w:rPr>
  </w:style>
  <w:style w:type="character" w:styleId="StrongEmphasis" w:customStyle="1">
    <w:name w:val="Strong Emphasis"/>
    <w:basedOn w:val="a0"/>
    <w:rPr>
      <w:rFonts w:cs="Times New Roman"/>
      <w:b w:val="1"/>
      <w:bCs w:val="1"/>
    </w:rPr>
  </w:style>
  <w:style w:type="character" w:styleId="HTML0" w:customStyle="1">
    <w:name w:val="Стандартный HTML Знак"/>
    <w:basedOn w:val="a0"/>
    <w:rPr>
      <w:rFonts w:ascii="Courier New" w:cs="Courier New" w:hAnsi="Courier New"/>
      <w:sz w:val="20"/>
      <w:szCs w:val="20"/>
      <w:lang w:eastAsia="uk-UA" w:val="uk-UA"/>
    </w:rPr>
  </w:style>
  <w:style w:type="character" w:styleId="ab" w:customStyle="1">
    <w:name w:val="Основной текст с отступом Знак"/>
    <w:basedOn w:val="a0"/>
    <w:rPr>
      <w:rFonts w:ascii="Times New Roman" w:cs="Times New Roman" w:hAnsi="Times New Roman"/>
      <w:kern w:val="3"/>
      <w:sz w:val="20"/>
      <w:szCs w:val="20"/>
      <w:lang w:bidi="ar-SA" w:eastAsia="ar-SA"/>
    </w:rPr>
  </w:style>
  <w:style w:type="character" w:styleId="ac" w:customStyle="1">
    <w:name w:val="Без интервала Знак"/>
    <w:basedOn w:val="a0"/>
    <w:rPr>
      <w:rFonts w:eastAsia="Times New Roman"/>
    </w:rPr>
  </w:style>
  <w:style w:type="character" w:styleId="ad" w:customStyle="1">
    <w:name w:val="Основной текст Знак"/>
    <w:basedOn w:val="a0"/>
    <w:rPr>
      <w:lang w:eastAsia="en-US"/>
    </w:rPr>
  </w:style>
  <w:style w:type="character" w:styleId="FontStyle11" w:customStyle="1">
    <w:name w:val="Font Style11"/>
    <w:basedOn w:val="a0"/>
    <w:rPr>
      <w:rFonts w:ascii="Times New Roman" w:cs="Times New Roman" w:hAnsi="Times New Roman"/>
      <w:sz w:val="22"/>
      <w:szCs w:val="22"/>
    </w:rPr>
  </w:style>
  <w:style w:type="character" w:styleId="ListLabel1" w:customStyle="1">
    <w:name w:val="ListLabel 1"/>
    <w:rPr>
      <w:rFonts w:cs="Times New Roman"/>
    </w:rPr>
  </w:style>
  <w:style w:type="numbering" w:styleId="WWNum1" w:customStyle="1">
    <w:name w:val="WWNum1"/>
    <w:basedOn w:val="a2"/>
  </w:style>
  <w:style w:type="numbering" w:styleId="WWNum2" w:customStyle="1">
    <w:name w:val="WWNum2"/>
    <w:basedOn w:val="a2"/>
  </w:style>
  <w:style w:type="numbering" w:styleId="WWNum3" w:customStyle="1">
    <w:name w:val="WWNum3"/>
    <w:basedOn w:val="a2"/>
  </w:style>
  <w:style w:type="table" w:styleId="ae" w:customStyle="1">
    <w:basedOn w:val="TableNormal4"/>
    <w:tblPr>
      <w:tblStyleRowBandSize w:val="1"/>
      <w:tblStyleColBandSize w:val="1"/>
      <w:tblCellMar>
        <w:top w:w="0.0" w:type="dxa"/>
        <w:bottom w:w="0.0" w:type="dxa"/>
      </w:tblCellMar>
    </w:tblPr>
  </w:style>
  <w:style w:type="table" w:styleId="af" w:customStyle="1">
    <w:basedOn w:val="TableNormal4"/>
    <w:tblPr>
      <w:tblStyleRowBandSize w:val="1"/>
      <w:tblStyleColBandSize w:val="1"/>
      <w:tblCellMar>
        <w:top w:w="0.0" w:type="dxa"/>
        <w:bottom w:w="0.0" w:type="dxa"/>
      </w:tblCellMar>
    </w:tblPr>
  </w:style>
  <w:style w:type="table" w:styleId="af0" w:customStyle="1">
    <w:basedOn w:val="TableNormal4"/>
    <w:tblPr>
      <w:tblStyleRowBandSize w:val="1"/>
      <w:tblStyleColBandSize w:val="1"/>
      <w:tblCellMar>
        <w:top w:w="0.0" w:type="dxa"/>
        <w:bottom w:w="0.0" w:type="dxa"/>
      </w:tblCellMar>
    </w:tblPr>
  </w:style>
  <w:style w:type="table" w:styleId="af1" w:customStyle="1">
    <w:basedOn w:val="TableNormal4"/>
    <w:tblPr>
      <w:tblStyleRowBandSize w:val="1"/>
      <w:tblStyleColBandSize w:val="1"/>
      <w:tblCellMar>
        <w:top w:w="0.0" w:type="dxa"/>
        <w:bottom w:w="0.0" w:type="dxa"/>
      </w:tblCellMar>
    </w:tblPr>
  </w:style>
  <w:style w:type="table" w:styleId="af2" w:customStyle="1">
    <w:basedOn w:val="TableNormal4"/>
    <w:tblPr>
      <w:tblStyleRowBandSize w:val="1"/>
      <w:tblStyleColBandSize w:val="1"/>
      <w:tblCellMar>
        <w:top w:w="0.0" w:type="dxa"/>
        <w:bottom w:w="0.0" w:type="dxa"/>
      </w:tblCellMar>
    </w:tblPr>
  </w:style>
  <w:style w:type="table" w:styleId="af4" w:customStyle="1">
    <w:basedOn w:val="TableNormal4"/>
    <w:tblPr>
      <w:tblStyleRowBandSize w:val="1"/>
      <w:tblStyleColBandSize w:val="1"/>
      <w:tblCellMar>
        <w:top w:w="0.0" w:type="dxa"/>
        <w:bottom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+j3QFsuFL6tUid9iEh0eszBYog==">CgMxLjAyCGguZ2pkZ3hzMg5oLndmZnF5ejF1aGQ3ajgAciExSkFFVkYxNlZsRGFkOGs4eVRqdTE3Zm5HRUVnS1gzUU4=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2023-02-17T09:11:00Z</dcterms:created>
  <dc:creator>Мой компьютер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0.0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